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9B1" w:rsidRDefault="004929B1" w:rsidP="004929B1">
      <w:pPr>
        <w:rPr>
          <w:b/>
        </w:rPr>
      </w:pPr>
      <w:r w:rsidRPr="00C02FE2">
        <w:rPr>
          <w:b/>
        </w:rPr>
        <w:t xml:space="preserve">Checklist for contractors to use </w:t>
      </w:r>
      <w:r>
        <w:rPr>
          <w:b/>
        </w:rPr>
        <w:t>for</w:t>
      </w:r>
      <w:r w:rsidRPr="00C02FE2">
        <w:rPr>
          <w:b/>
        </w:rPr>
        <w:t xml:space="preserve"> </w:t>
      </w:r>
      <w:r>
        <w:rPr>
          <w:b/>
        </w:rPr>
        <w:t>unplanned closure</w:t>
      </w:r>
    </w:p>
    <w:p w:rsidR="004929B1" w:rsidRDefault="004929B1" w:rsidP="004929B1">
      <w:pPr>
        <w:rPr>
          <w:b/>
        </w:rPr>
      </w:pPr>
    </w:p>
    <w:p w:rsidR="004929B1" w:rsidRDefault="004929B1" w:rsidP="004929B1">
      <w:pPr>
        <w:rPr>
          <w:b/>
        </w:rPr>
      </w:pPr>
    </w:p>
    <w:tbl>
      <w:tblPr>
        <w:tblW w:w="10507"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5"/>
        <w:gridCol w:w="1572"/>
      </w:tblGrid>
      <w:tr w:rsidR="004929B1" w:rsidRPr="002A229C" w:rsidTr="00A9368E">
        <w:trPr>
          <w:trHeight w:val="283"/>
        </w:trPr>
        <w:tc>
          <w:tcPr>
            <w:tcW w:w="8935" w:type="dxa"/>
            <w:shd w:val="clear" w:color="auto" w:fill="006FC0"/>
          </w:tcPr>
          <w:p w:rsidR="004929B1" w:rsidRPr="002A229C" w:rsidRDefault="004929B1" w:rsidP="00A9368E">
            <w:pPr>
              <w:widowControl w:val="0"/>
              <w:autoSpaceDE w:val="0"/>
              <w:autoSpaceDN w:val="0"/>
              <w:spacing w:line="248" w:lineRule="exact"/>
              <w:ind w:left="107"/>
              <w:rPr>
                <w:rFonts w:eastAsia="Calibri" w:cs="Arial"/>
                <w:b/>
                <w:sz w:val="24"/>
                <w:lang w:bidi="en-GB"/>
              </w:rPr>
            </w:pPr>
            <w:r w:rsidRPr="002A229C">
              <w:rPr>
                <w:rFonts w:eastAsia="Calibri" w:cs="Arial"/>
                <w:b/>
                <w:color w:val="FFFFFF"/>
                <w:sz w:val="24"/>
                <w:lang w:bidi="en-GB"/>
              </w:rPr>
              <w:t>ISSUE</w:t>
            </w:r>
          </w:p>
        </w:tc>
        <w:tc>
          <w:tcPr>
            <w:tcW w:w="1572" w:type="dxa"/>
            <w:shd w:val="clear" w:color="auto" w:fill="006FC0"/>
          </w:tcPr>
          <w:p w:rsidR="004929B1" w:rsidRPr="002A229C" w:rsidRDefault="004929B1" w:rsidP="00A9368E">
            <w:pPr>
              <w:widowControl w:val="0"/>
              <w:autoSpaceDE w:val="0"/>
              <w:autoSpaceDN w:val="0"/>
              <w:spacing w:line="248" w:lineRule="exact"/>
              <w:ind w:left="107"/>
              <w:rPr>
                <w:rFonts w:eastAsia="Calibri" w:cs="Arial"/>
                <w:b/>
                <w:sz w:val="24"/>
                <w:lang w:bidi="en-GB"/>
              </w:rPr>
            </w:pPr>
            <w:r w:rsidRPr="002A229C">
              <w:rPr>
                <w:rFonts w:eastAsia="Calibri" w:cs="Arial"/>
                <w:b/>
                <w:color w:val="FFFFFF"/>
                <w:sz w:val="24"/>
                <w:lang w:bidi="en-GB"/>
              </w:rPr>
              <w:t>Completed</w:t>
            </w:r>
          </w:p>
        </w:tc>
      </w:tr>
      <w:tr w:rsidR="004929B1" w:rsidRPr="002A229C" w:rsidTr="00A9368E">
        <w:trPr>
          <w:trHeight w:val="1061"/>
        </w:trPr>
        <w:tc>
          <w:tcPr>
            <w:tcW w:w="8935" w:type="dxa"/>
          </w:tcPr>
          <w:p w:rsidR="00915A89" w:rsidRDefault="00915A89" w:rsidP="00915A89">
            <w:pPr>
              <w:widowControl w:val="0"/>
              <w:shd w:val="clear" w:color="auto" w:fill="FFFFFF" w:themeFill="background1"/>
              <w:autoSpaceDE w:val="0"/>
              <w:autoSpaceDN w:val="0"/>
              <w:spacing w:before="197" w:after="200" w:line="276" w:lineRule="auto"/>
              <w:ind w:right="493"/>
              <w:contextualSpacing/>
              <w:rPr>
                <w:rFonts w:eastAsia="Calibri" w:cs="Arial"/>
                <w:b/>
                <w:sz w:val="24"/>
                <w:lang w:bidi="en-GB"/>
              </w:rPr>
            </w:pPr>
          </w:p>
          <w:p w:rsidR="004929B1" w:rsidRDefault="004929B1" w:rsidP="00915A89">
            <w:pPr>
              <w:widowControl w:val="0"/>
              <w:shd w:val="clear" w:color="auto" w:fill="FFFFFF" w:themeFill="background1"/>
              <w:autoSpaceDE w:val="0"/>
              <w:autoSpaceDN w:val="0"/>
              <w:spacing w:before="197" w:after="200" w:line="276" w:lineRule="auto"/>
              <w:ind w:right="493"/>
              <w:contextualSpacing/>
              <w:rPr>
                <w:rFonts w:eastAsia="Calibri" w:cs="Arial"/>
                <w:b/>
                <w:sz w:val="24"/>
                <w:lang w:bidi="en-GB"/>
              </w:rPr>
            </w:pPr>
            <w:r w:rsidRPr="004929B1">
              <w:rPr>
                <w:rFonts w:eastAsia="Calibri" w:cs="Arial"/>
                <w:b/>
                <w:sz w:val="24"/>
                <w:lang w:bidi="en-GB"/>
              </w:rPr>
              <w:t>Email SPPG Business Support to notify of closure</w:t>
            </w:r>
            <w:r w:rsidRPr="004929B1">
              <w:rPr>
                <w:rFonts w:eastAsia="Calibri" w:cs="Arial"/>
                <w:b/>
                <w:sz w:val="24"/>
                <w:lang w:bidi="en-GB"/>
              </w:rPr>
              <w:t xml:space="preserve">, include pharmacy details (name, address, contractors) and </w:t>
            </w:r>
            <w:r w:rsidRPr="004929B1">
              <w:rPr>
                <w:rFonts w:eastAsia="Calibri" w:cs="Arial"/>
                <w:b/>
                <w:sz w:val="24"/>
                <w:lang w:bidi="en-GB"/>
              </w:rPr>
              <w:t>provide a phone number in case a member of the SPPG team needs to contact you directly</w:t>
            </w:r>
            <w:r w:rsidRPr="004929B1">
              <w:rPr>
                <w:rFonts w:eastAsia="Calibri" w:cs="Arial"/>
                <w:b/>
                <w:sz w:val="24"/>
                <w:lang w:bidi="en-GB"/>
              </w:rPr>
              <w:t xml:space="preserve">. </w:t>
            </w:r>
          </w:p>
          <w:p w:rsidR="00915A89" w:rsidRPr="004929B1" w:rsidRDefault="00915A89" w:rsidP="00915A89">
            <w:pPr>
              <w:widowControl w:val="0"/>
              <w:shd w:val="clear" w:color="auto" w:fill="FFFFFF" w:themeFill="background1"/>
              <w:autoSpaceDE w:val="0"/>
              <w:autoSpaceDN w:val="0"/>
              <w:spacing w:before="197" w:after="200" w:line="276" w:lineRule="auto"/>
              <w:ind w:right="493"/>
              <w:contextualSpacing/>
              <w:rPr>
                <w:rFonts w:eastAsiaTheme="minorHAnsi" w:cs="Arial"/>
                <w:sz w:val="24"/>
                <w:lang w:eastAsia="en-US"/>
              </w:rPr>
            </w:pPr>
            <w:bookmarkStart w:id="0" w:name="_GoBack"/>
            <w:bookmarkEnd w:id="0"/>
          </w:p>
          <w:p w:rsidR="004929B1" w:rsidRPr="004929B1" w:rsidRDefault="004929B1" w:rsidP="004929B1">
            <w:pPr>
              <w:widowControl w:val="0"/>
              <w:numPr>
                <w:ilvl w:val="0"/>
                <w:numId w:val="5"/>
              </w:numPr>
              <w:shd w:val="clear" w:color="auto" w:fill="FFFFFF" w:themeFill="background1"/>
              <w:autoSpaceDE w:val="0"/>
              <w:autoSpaceDN w:val="0"/>
              <w:spacing w:before="197" w:after="200" w:line="276" w:lineRule="auto"/>
              <w:ind w:right="493"/>
              <w:contextualSpacing/>
              <w:rPr>
                <w:rFonts w:eastAsiaTheme="minorHAnsi" w:cs="Arial"/>
                <w:sz w:val="24"/>
                <w:lang w:eastAsia="en-US"/>
              </w:rPr>
            </w:pPr>
            <w:r w:rsidRPr="004929B1">
              <w:rPr>
                <w:rFonts w:eastAsiaTheme="minorHAnsi" w:cs="Arial"/>
                <w:sz w:val="24"/>
                <w:lang w:eastAsia="en-US"/>
              </w:rPr>
              <w:t xml:space="preserve">Pharmacy Services Belfast </w:t>
            </w:r>
            <w:hyperlink r:id="rId5" w:history="1">
              <w:r w:rsidRPr="004929B1">
                <w:rPr>
                  <w:rFonts w:eastAsiaTheme="minorHAnsi" w:cs="Arial"/>
                  <w:color w:val="0000FF" w:themeColor="hyperlink"/>
                  <w:sz w:val="24"/>
                  <w:u w:val="single"/>
                  <w:lang w:eastAsia="en-US"/>
                </w:rPr>
                <w:t>pharmacyservicesbelfast@hscni.net</w:t>
              </w:r>
            </w:hyperlink>
          </w:p>
          <w:p w:rsidR="004929B1" w:rsidRPr="002A229C" w:rsidRDefault="004929B1" w:rsidP="004929B1">
            <w:pPr>
              <w:numPr>
                <w:ilvl w:val="0"/>
                <w:numId w:val="5"/>
              </w:numPr>
              <w:spacing w:after="200" w:line="276" w:lineRule="auto"/>
              <w:contextualSpacing/>
              <w:rPr>
                <w:rFonts w:eastAsiaTheme="minorHAnsi" w:cs="Arial"/>
                <w:sz w:val="24"/>
                <w:lang w:eastAsia="en-US"/>
              </w:rPr>
            </w:pPr>
            <w:r w:rsidRPr="002A229C">
              <w:rPr>
                <w:rFonts w:eastAsiaTheme="minorHAnsi" w:cs="Arial"/>
                <w:sz w:val="24"/>
                <w:lang w:eastAsia="en-US"/>
              </w:rPr>
              <w:t xml:space="preserve">Pharmacy Services North </w:t>
            </w:r>
            <w:hyperlink r:id="rId6" w:history="1">
              <w:r w:rsidRPr="002A229C">
                <w:rPr>
                  <w:rFonts w:eastAsiaTheme="minorHAnsi" w:cs="Arial"/>
                  <w:color w:val="0000FF" w:themeColor="hyperlink"/>
                  <w:sz w:val="24"/>
                  <w:u w:val="single"/>
                  <w:lang w:eastAsia="en-US"/>
                </w:rPr>
                <w:t>pharmacyservicesnorth@hscni.net</w:t>
              </w:r>
            </w:hyperlink>
          </w:p>
          <w:p w:rsidR="004929B1" w:rsidRPr="002A229C" w:rsidRDefault="004929B1" w:rsidP="004929B1">
            <w:pPr>
              <w:numPr>
                <w:ilvl w:val="0"/>
                <w:numId w:val="5"/>
              </w:numPr>
              <w:spacing w:after="200" w:line="276" w:lineRule="auto"/>
              <w:contextualSpacing/>
              <w:rPr>
                <w:rFonts w:eastAsiaTheme="minorHAnsi" w:cs="Arial"/>
                <w:sz w:val="24"/>
                <w:lang w:eastAsia="en-US"/>
              </w:rPr>
            </w:pPr>
            <w:r w:rsidRPr="002A229C">
              <w:rPr>
                <w:rFonts w:eastAsiaTheme="minorHAnsi" w:cs="Arial"/>
                <w:sz w:val="24"/>
                <w:lang w:eastAsia="en-US"/>
              </w:rPr>
              <w:t xml:space="preserve">Pharmacy Services South </w:t>
            </w:r>
            <w:hyperlink r:id="rId7" w:history="1">
              <w:r w:rsidRPr="002A229C">
                <w:rPr>
                  <w:rFonts w:eastAsiaTheme="minorHAnsi" w:cs="Arial"/>
                  <w:color w:val="0000FF" w:themeColor="hyperlink"/>
                  <w:sz w:val="24"/>
                  <w:u w:val="single"/>
                  <w:lang w:eastAsia="en-US"/>
                </w:rPr>
                <w:t>pharmacyservicessouth@hscni.net</w:t>
              </w:r>
            </w:hyperlink>
          </w:p>
          <w:p w:rsidR="004929B1" w:rsidRPr="002A229C" w:rsidRDefault="004929B1" w:rsidP="004929B1">
            <w:pPr>
              <w:numPr>
                <w:ilvl w:val="0"/>
                <w:numId w:val="5"/>
              </w:numPr>
              <w:spacing w:after="200" w:line="276" w:lineRule="auto"/>
              <w:contextualSpacing/>
              <w:rPr>
                <w:rFonts w:eastAsiaTheme="minorHAnsi" w:cs="Arial"/>
                <w:sz w:val="24"/>
                <w:lang w:eastAsia="en-US"/>
              </w:rPr>
            </w:pPr>
            <w:r w:rsidRPr="002A229C">
              <w:rPr>
                <w:rFonts w:eastAsiaTheme="minorHAnsi" w:cs="Arial"/>
                <w:sz w:val="24"/>
                <w:lang w:eastAsia="en-US"/>
              </w:rPr>
              <w:t xml:space="preserve">Pharmacy Services South East </w:t>
            </w:r>
            <w:hyperlink r:id="rId8" w:history="1">
              <w:r w:rsidRPr="002A229C">
                <w:rPr>
                  <w:rFonts w:eastAsiaTheme="minorHAnsi" w:cs="Arial"/>
                  <w:color w:val="0000FF" w:themeColor="hyperlink"/>
                  <w:sz w:val="24"/>
                  <w:u w:val="single"/>
                  <w:lang w:eastAsia="en-US"/>
                </w:rPr>
                <w:t>pharmacyservicesse@hscni.net</w:t>
              </w:r>
            </w:hyperlink>
          </w:p>
          <w:p w:rsidR="004929B1" w:rsidRPr="002A229C" w:rsidRDefault="004929B1" w:rsidP="004929B1">
            <w:pPr>
              <w:numPr>
                <w:ilvl w:val="0"/>
                <w:numId w:val="5"/>
              </w:numPr>
              <w:spacing w:after="200" w:line="276" w:lineRule="auto"/>
              <w:contextualSpacing/>
              <w:rPr>
                <w:rFonts w:eastAsiaTheme="minorHAnsi" w:cs="Arial"/>
                <w:sz w:val="24"/>
                <w:lang w:eastAsia="en-US"/>
              </w:rPr>
            </w:pPr>
            <w:r w:rsidRPr="002A229C">
              <w:rPr>
                <w:rFonts w:eastAsiaTheme="minorHAnsi" w:cs="Arial"/>
                <w:sz w:val="24"/>
                <w:lang w:eastAsia="en-US"/>
              </w:rPr>
              <w:t xml:space="preserve">Pharmacy Services West </w:t>
            </w:r>
            <w:hyperlink r:id="rId9" w:history="1">
              <w:r w:rsidRPr="002A229C">
                <w:rPr>
                  <w:rFonts w:eastAsiaTheme="minorHAnsi" w:cs="Arial"/>
                  <w:color w:val="0000FF" w:themeColor="hyperlink"/>
                  <w:sz w:val="24"/>
                  <w:u w:val="single"/>
                  <w:lang w:eastAsia="en-US"/>
                </w:rPr>
                <w:t>pharmacyserviceswest@hscni.net</w:t>
              </w:r>
            </w:hyperlink>
          </w:p>
          <w:p w:rsidR="004929B1" w:rsidRPr="002A229C" w:rsidRDefault="004929B1" w:rsidP="00A9368E">
            <w:pPr>
              <w:widowControl w:val="0"/>
              <w:autoSpaceDE w:val="0"/>
              <w:autoSpaceDN w:val="0"/>
              <w:spacing w:before="197" w:line="270" w:lineRule="atLeast"/>
              <w:ind w:left="827" w:right="2185"/>
              <w:rPr>
                <w:rFonts w:eastAsia="Calibri" w:cs="Arial"/>
                <w:b/>
                <w:sz w:val="24"/>
                <w:lang w:bidi="en-GB"/>
              </w:rPr>
            </w:pPr>
          </w:p>
        </w:tc>
        <w:tc>
          <w:tcPr>
            <w:tcW w:w="1572" w:type="dxa"/>
          </w:tcPr>
          <w:p w:rsidR="004929B1" w:rsidRPr="002A229C" w:rsidRDefault="004929B1" w:rsidP="00A9368E">
            <w:pPr>
              <w:widowControl w:val="0"/>
              <w:autoSpaceDE w:val="0"/>
              <w:autoSpaceDN w:val="0"/>
              <w:rPr>
                <w:rFonts w:eastAsia="Calibri" w:cs="Arial"/>
                <w:sz w:val="24"/>
                <w:lang w:bidi="en-GB"/>
              </w:rPr>
            </w:pPr>
          </w:p>
        </w:tc>
      </w:tr>
      <w:tr w:rsidR="004929B1" w:rsidRPr="002A229C" w:rsidTr="00A9368E">
        <w:trPr>
          <w:trHeight w:val="805"/>
        </w:trPr>
        <w:tc>
          <w:tcPr>
            <w:tcW w:w="8935" w:type="dxa"/>
          </w:tcPr>
          <w:p w:rsidR="004929B1" w:rsidRPr="002A229C" w:rsidRDefault="004929B1" w:rsidP="00A9368E">
            <w:pPr>
              <w:widowControl w:val="0"/>
              <w:autoSpaceDE w:val="0"/>
              <w:autoSpaceDN w:val="0"/>
              <w:spacing w:before="4"/>
              <w:rPr>
                <w:rFonts w:eastAsia="Calibri" w:cs="Arial"/>
                <w:b/>
                <w:sz w:val="24"/>
                <w:lang w:bidi="en-GB"/>
              </w:rPr>
            </w:pPr>
          </w:p>
          <w:p w:rsidR="004929B1" w:rsidRPr="002A229C" w:rsidRDefault="004929B1" w:rsidP="004929B1">
            <w:pPr>
              <w:widowControl w:val="0"/>
              <w:numPr>
                <w:ilvl w:val="0"/>
                <w:numId w:val="2"/>
              </w:numPr>
              <w:autoSpaceDE w:val="0"/>
              <w:autoSpaceDN w:val="0"/>
              <w:spacing w:after="200" w:line="276" w:lineRule="auto"/>
              <w:rPr>
                <w:rFonts w:eastAsia="Calibri" w:cs="Arial"/>
                <w:b/>
                <w:sz w:val="24"/>
                <w:lang w:bidi="en-GB"/>
              </w:rPr>
            </w:pPr>
            <w:r w:rsidRPr="002A229C">
              <w:rPr>
                <w:rFonts w:eastAsia="Calibri" w:cs="Arial"/>
                <w:b/>
                <w:sz w:val="24"/>
                <w:lang w:bidi="en-GB"/>
              </w:rPr>
              <w:t xml:space="preserve">Business Continuity: </w:t>
            </w:r>
          </w:p>
          <w:p w:rsidR="004929B1" w:rsidRPr="002A229C" w:rsidRDefault="004929B1" w:rsidP="00A9368E">
            <w:pPr>
              <w:widowControl w:val="0"/>
              <w:autoSpaceDE w:val="0"/>
              <w:autoSpaceDN w:val="0"/>
              <w:ind w:left="467"/>
              <w:rPr>
                <w:rFonts w:eastAsia="Calibri" w:cs="Arial"/>
                <w:b/>
                <w:sz w:val="24"/>
                <w:lang w:bidi="en-GB"/>
              </w:rPr>
            </w:pPr>
          </w:p>
          <w:p w:rsidR="004929B1" w:rsidRPr="002A229C" w:rsidRDefault="004929B1" w:rsidP="004929B1">
            <w:pPr>
              <w:widowControl w:val="0"/>
              <w:numPr>
                <w:ilvl w:val="0"/>
                <w:numId w:val="6"/>
              </w:numPr>
              <w:autoSpaceDE w:val="0"/>
              <w:autoSpaceDN w:val="0"/>
              <w:spacing w:after="200" w:line="276" w:lineRule="auto"/>
              <w:rPr>
                <w:rFonts w:eastAsia="Calibri" w:cs="Arial"/>
                <w:sz w:val="24"/>
                <w:lang w:bidi="en-GB"/>
              </w:rPr>
            </w:pPr>
            <w:r w:rsidRPr="002A229C">
              <w:rPr>
                <w:rFonts w:eastAsia="Calibri" w:cs="Arial"/>
                <w:sz w:val="24"/>
                <w:lang w:bidi="en-GB"/>
              </w:rPr>
              <w:t>Has your business continuity plan been implemented?</w:t>
            </w:r>
          </w:p>
          <w:p w:rsidR="004929B1" w:rsidRPr="002A229C" w:rsidRDefault="004929B1" w:rsidP="00A9368E">
            <w:pPr>
              <w:widowControl w:val="0"/>
              <w:autoSpaceDE w:val="0"/>
              <w:autoSpaceDN w:val="0"/>
              <w:rPr>
                <w:rFonts w:eastAsia="Calibri" w:cs="Arial"/>
                <w:sz w:val="24"/>
                <w:lang w:bidi="en-GB"/>
              </w:rPr>
            </w:pPr>
          </w:p>
        </w:tc>
        <w:tc>
          <w:tcPr>
            <w:tcW w:w="1572" w:type="dxa"/>
          </w:tcPr>
          <w:p w:rsidR="004929B1" w:rsidRPr="002A229C" w:rsidRDefault="004929B1" w:rsidP="00A9368E">
            <w:pPr>
              <w:widowControl w:val="0"/>
              <w:autoSpaceDE w:val="0"/>
              <w:autoSpaceDN w:val="0"/>
              <w:rPr>
                <w:rFonts w:eastAsia="Calibri" w:cs="Arial"/>
                <w:sz w:val="24"/>
                <w:lang w:bidi="en-GB"/>
              </w:rPr>
            </w:pPr>
          </w:p>
        </w:tc>
      </w:tr>
      <w:tr w:rsidR="004929B1" w:rsidRPr="002A229C" w:rsidTr="00A9368E">
        <w:trPr>
          <w:trHeight w:val="3730"/>
        </w:trPr>
        <w:tc>
          <w:tcPr>
            <w:tcW w:w="8935" w:type="dxa"/>
          </w:tcPr>
          <w:p w:rsidR="004929B1" w:rsidRPr="002A229C" w:rsidRDefault="004929B1" w:rsidP="00A9368E">
            <w:pPr>
              <w:widowControl w:val="0"/>
              <w:autoSpaceDE w:val="0"/>
              <w:autoSpaceDN w:val="0"/>
              <w:spacing w:before="5"/>
              <w:rPr>
                <w:rFonts w:eastAsia="Calibri" w:cs="Arial"/>
                <w:b/>
                <w:sz w:val="24"/>
                <w:lang w:bidi="en-GB"/>
              </w:rPr>
            </w:pPr>
          </w:p>
          <w:p w:rsidR="004929B1" w:rsidRPr="002A229C" w:rsidRDefault="004929B1" w:rsidP="004929B1">
            <w:pPr>
              <w:widowControl w:val="0"/>
              <w:numPr>
                <w:ilvl w:val="0"/>
                <w:numId w:val="2"/>
              </w:numPr>
              <w:autoSpaceDE w:val="0"/>
              <w:autoSpaceDN w:val="0"/>
              <w:spacing w:after="200" w:line="276" w:lineRule="auto"/>
              <w:rPr>
                <w:rFonts w:eastAsia="Calibri" w:cs="Arial"/>
                <w:b/>
                <w:sz w:val="24"/>
                <w:lang w:bidi="en-GB"/>
              </w:rPr>
            </w:pPr>
            <w:r w:rsidRPr="002A229C">
              <w:rPr>
                <w:rFonts w:eastAsia="Calibri" w:cs="Arial"/>
                <w:b/>
                <w:sz w:val="24"/>
                <w:lang w:bidi="en-GB"/>
              </w:rPr>
              <w:t>Communication: Patients</w:t>
            </w:r>
          </w:p>
          <w:p w:rsidR="004929B1" w:rsidRPr="002A229C" w:rsidRDefault="004929B1" w:rsidP="00A9368E">
            <w:pPr>
              <w:widowControl w:val="0"/>
              <w:autoSpaceDE w:val="0"/>
              <w:autoSpaceDN w:val="0"/>
              <w:rPr>
                <w:rFonts w:eastAsia="Calibri" w:cs="Arial"/>
                <w:b/>
                <w:sz w:val="24"/>
                <w:lang w:bidi="en-GB"/>
              </w:rPr>
            </w:pPr>
          </w:p>
          <w:p w:rsidR="004929B1" w:rsidRPr="002A229C" w:rsidRDefault="004929B1" w:rsidP="00A9368E">
            <w:pPr>
              <w:widowControl w:val="0"/>
              <w:autoSpaceDE w:val="0"/>
              <w:autoSpaceDN w:val="0"/>
              <w:rPr>
                <w:rFonts w:eastAsia="Calibri" w:cs="Arial"/>
                <w:b/>
                <w:sz w:val="24"/>
                <w:lang w:bidi="en-GB"/>
              </w:rPr>
            </w:pPr>
            <w:r w:rsidRPr="002A229C">
              <w:rPr>
                <w:rFonts w:eastAsia="Calibri" w:cs="Arial"/>
                <w:b/>
                <w:sz w:val="24"/>
                <w:lang w:bidi="en-GB"/>
              </w:rPr>
              <w:t>Notice in Window</w:t>
            </w:r>
          </w:p>
          <w:p w:rsidR="004929B1" w:rsidRPr="002A229C" w:rsidRDefault="004929B1" w:rsidP="00A9368E">
            <w:pPr>
              <w:widowControl w:val="0"/>
              <w:autoSpaceDE w:val="0"/>
              <w:autoSpaceDN w:val="0"/>
              <w:spacing w:before="4"/>
              <w:rPr>
                <w:rFonts w:eastAsia="Calibri" w:cs="Arial"/>
                <w:b/>
                <w:sz w:val="24"/>
                <w:lang w:bidi="en-GB"/>
              </w:rPr>
            </w:pPr>
          </w:p>
          <w:p w:rsidR="004929B1" w:rsidRPr="002A229C" w:rsidRDefault="004929B1" w:rsidP="00A9368E">
            <w:pPr>
              <w:widowControl w:val="0"/>
              <w:autoSpaceDE w:val="0"/>
              <w:autoSpaceDN w:val="0"/>
              <w:ind w:left="107"/>
              <w:rPr>
                <w:rFonts w:eastAsia="Calibri" w:cs="Arial"/>
                <w:sz w:val="24"/>
                <w:lang w:bidi="en-GB"/>
              </w:rPr>
            </w:pPr>
            <w:r w:rsidRPr="002A229C">
              <w:rPr>
                <w:rFonts w:eastAsia="Calibri" w:cs="Arial"/>
                <w:sz w:val="24"/>
                <w:lang w:bidi="en-GB"/>
              </w:rPr>
              <w:t>The following are suggestions to include in the notice but not limited to:</w:t>
            </w:r>
          </w:p>
          <w:p w:rsidR="004929B1" w:rsidRPr="002A229C" w:rsidRDefault="004929B1" w:rsidP="00A9368E">
            <w:pPr>
              <w:widowControl w:val="0"/>
              <w:autoSpaceDE w:val="0"/>
              <w:autoSpaceDN w:val="0"/>
              <w:spacing w:before="4"/>
              <w:rPr>
                <w:rFonts w:eastAsia="Calibri" w:cs="Arial"/>
                <w:b/>
                <w:sz w:val="24"/>
                <w:lang w:bidi="en-GB"/>
              </w:rPr>
            </w:pPr>
          </w:p>
          <w:p w:rsidR="004929B1" w:rsidRPr="002A229C" w:rsidRDefault="004929B1" w:rsidP="004929B1">
            <w:pPr>
              <w:widowControl w:val="0"/>
              <w:numPr>
                <w:ilvl w:val="0"/>
                <w:numId w:val="1"/>
              </w:numPr>
              <w:tabs>
                <w:tab w:val="left" w:pos="467"/>
                <w:tab w:val="left" w:pos="468"/>
              </w:tabs>
              <w:autoSpaceDE w:val="0"/>
              <w:autoSpaceDN w:val="0"/>
              <w:spacing w:after="200" w:line="268" w:lineRule="exact"/>
              <w:ind w:hanging="361"/>
              <w:rPr>
                <w:rFonts w:eastAsia="Calibri" w:cs="Arial"/>
                <w:sz w:val="24"/>
                <w:lang w:bidi="en-GB"/>
              </w:rPr>
            </w:pPr>
            <w:r w:rsidRPr="002A229C">
              <w:rPr>
                <w:rFonts w:eastAsia="Calibri" w:cs="Arial"/>
                <w:sz w:val="24"/>
                <w:lang w:bidi="en-GB"/>
              </w:rPr>
              <w:t>Other local pharmacies including telephone number</w:t>
            </w:r>
          </w:p>
          <w:p w:rsidR="004929B1" w:rsidRPr="002A229C" w:rsidRDefault="004929B1" w:rsidP="004929B1">
            <w:pPr>
              <w:widowControl w:val="0"/>
              <w:numPr>
                <w:ilvl w:val="0"/>
                <w:numId w:val="1"/>
              </w:numPr>
              <w:tabs>
                <w:tab w:val="left" w:pos="467"/>
                <w:tab w:val="left" w:pos="468"/>
              </w:tabs>
              <w:autoSpaceDE w:val="0"/>
              <w:autoSpaceDN w:val="0"/>
              <w:spacing w:after="200" w:line="279" w:lineRule="exact"/>
              <w:ind w:hanging="361"/>
              <w:rPr>
                <w:rFonts w:eastAsia="Calibri" w:cs="Arial"/>
                <w:sz w:val="24"/>
                <w:lang w:bidi="en-GB"/>
              </w:rPr>
            </w:pPr>
            <w:r w:rsidRPr="002A229C">
              <w:rPr>
                <w:rFonts w:eastAsia="Calibri" w:cs="Arial"/>
                <w:sz w:val="24"/>
                <w:lang w:bidi="en-GB"/>
              </w:rPr>
              <w:t>Where services can be</w:t>
            </w:r>
            <w:r w:rsidRPr="002A229C">
              <w:rPr>
                <w:rFonts w:eastAsia="Calibri" w:cs="Arial"/>
                <w:spacing w:val="-8"/>
                <w:sz w:val="24"/>
                <w:lang w:bidi="en-GB"/>
              </w:rPr>
              <w:t xml:space="preserve"> </w:t>
            </w:r>
            <w:r w:rsidRPr="002A229C">
              <w:rPr>
                <w:rFonts w:eastAsia="Calibri" w:cs="Arial"/>
                <w:sz w:val="24"/>
                <w:lang w:bidi="en-GB"/>
              </w:rPr>
              <w:t>obtained</w:t>
            </w:r>
          </w:p>
          <w:p w:rsidR="004929B1" w:rsidRPr="002A229C" w:rsidRDefault="004929B1" w:rsidP="004929B1">
            <w:pPr>
              <w:widowControl w:val="0"/>
              <w:numPr>
                <w:ilvl w:val="0"/>
                <w:numId w:val="1"/>
              </w:numPr>
              <w:tabs>
                <w:tab w:val="left" w:pos="467"/>
                <w:tab w:val="left" w:pos="468"/>
              </w:tabs>
              <w:autoSpaceDE w:val="0"/>
              <w:autoSpaceDN w:val="0"/>
              <w:spacing w:before="1" w:after="200" w:line="276" w:lineRule="auto"/>
              <w:ind w:hanging="361"/>
              <w:rPr>
                <w:rFonts w:eastAsia="Calibri" w:cs="Arial"/>
                <w:sz w:val="24"/>
                <w:lang w:bidi="en-GB"/>
              </w:rPr>
            </w:pPr>
            <w:r w:rsidRPr="002A229C">
              <w:rPr>
                <w:rFonts w:eastAsia="Calibri" w:cs="Arial"/>
                <w:sz w:val="24"/>
                <w:lang w:bidi="en-GB"/>
              </w:rPr>
              <w:t>Expected date of re-opening</w:t>
            </w:r>
          </w:p>
          <w:p w:rsidR="004929B1" w:rsidRPr="002A229C" w:rsidRDefault="004929B1" w:rsidP="004929B1">
            <w:pPr>
              <w:widowControl w:val="0"/>
              <w:numPr>
                <w:ilvl w:val="0"/>
                <w:numId w:val="1"/>
              </w:numPr>
              <w:tabs>
                <w:tab w:val="left" w:pos="467"/>
                <w:tab w:val="left" w:pos="468"/>
              </w:tabs>
              <w:autoSpaceDE w:val="0"/>
              <w:autoSpaceDN w:val="0"/>
              <w:spacing w:before="1" w:after="200" w:line="276" w:lineRule="auto"/>
              <w:ind w:hanging="361"/>
              <w:rPr>
                <w:rFonts w:eastAsia="Calibri" w:cs="Arial"/>
                <w:sz w:val="24"/>
                <w:lang w:bidi="en-GB"/>
              </w:rPr>
            </w:pPr>
            <w:r w:rsidRPr="002A229C">
              <w:rPr>
                <w:rFonts w:eastAsia="Calibri" w:cs="Arial"/>
                <w:sz w:val="24"/>
                <w:lang w:bidi="en-GB"/>
              </w:rPr>
              <w:t>Contact telephone number</w:t>
            </w:r>
          </w:p>
          <w:p w:rsidR="004929B1" w:rsidRPr="002A229C" w:rsidRDefault="004929B1" w:rsidP="004929B1">
            <w:pPr>
              <w:widowControl w:val="0"/>
              <w:numPr>
                <w:ilvl w:val="0"/>
                <w:numId w:val="1"/>
              </w:numPr>
              <w:tabs>
                <w:tab w:val="left" w:pos="467"/>
                <w:tab w:val="left" w:pos="468"/>
              </w:tabs>
              <w:autoSpaceDE w:val="0"/>
              <w:autoSpaceDN w:val="0"/>
              <w:spacing w:before="1" w:after="200" w:line="276" w:lineRule="auto"/>
              <w:ind w:hanging="361"/>
              <w:rPr>
                <w:rFonts w:eastAsia="Calibri" w:cs="Arial"/>
                <w:sz w:val="24"/>
                <w:lang w:bidi="en-GB"/>
              </w:rPr>
            </w:pPr>
            <w:r w:rsidRPr="002A229C">
              <w:rPr>
                <w:rFonts w:eastAsia="Calibri" w:cs="Arial"/>
                <w:sz w:val="24"/>
                <w:lang w:bidi="en-GB"/>
              </w:rPr>
              <w:t>“For weekly or daily pick-ups, please contact your practice”</w:t>
            </w:r>
          </w:p>
          <w:p w:rsidR="004929B1" w:rsidRPr="002A229C" w:rsidRDefault="004929B1" w:rsidP="00A9368E">
            <w:pPr>
              <w:widowControl w:val="0"/>
              <w:autoSpaceDE w:val="0"/>
              <w:autoSpaceDN w:val="0"/>
              <w:spacing w:before="200"/>
              <w:ind w:right="521"/>
              <w:rPr>
                <w:rFonts w:eastAsia="Calibri" w:cs="Arial"/>
                <w:b/>
                <w:sz w:val="24"/>
                <w:lang w:bidi="en-GB"/>
              </w:rPr>
            </w:pPr>
            <w:r w:rsidRPr="002A229C">
              <w:rPr>
                <w:rFonts w:eastAsia="Calibri" w:cs="Arial"/>
                <w:b/>
                <w:sz w:val="24"/>
                <w:lang w:bidi="en-GB"/>
              </w:rPr>
              <w:t xml:space="preserve">Contacting patients directly: </w:t>
            </w:r>
          </w:p>
          <w:p w:rsidR="004929B1" w:rsidRPr="002A229C" w:rsidRDefault="004929B1" w:rsidP="00A9368E">
            <w:pPr>
              <w:widowControl w:val="0"/>
              <w:autoSpaceDE w:val="0"/>
              <w:autoSpaceDN w:val="0"/>
              <w:spacing w:before="200"/>
              <w:ind w:right="521"/>
              <w:rPr>
                <w:rFonts w:eastAsia="Calibri" w:cs="Arial"/>
                <w:sz w:val="24"/>
                <w:lang w:bidi="en-GB"/>
              </w:rPr>
            </w:pPr>
            <w:r w:rsidRPr="002A229C">
              <w:rPr>
                <w:rFonts w:eastAsia="Calibri" w:cs="Arial"/>
                <w:sz w:val="24"/>
                <w:lang w:bidi="en-GB"/>
              </w:rPr>
              <w:t>If you chose to communicate with patients directly that is in addition to a notice. You should ensure any such communication is GDPR compliant, in particular with SMS messages, email and social media.</w:t>
            </w:r>
          </w:p>
        </w:tc>
        <w:tc>
          <w:tcPr>
            <w:tcW w:w="1572" w:type="dxa"/>
          </w:tcPr>
          <w:p w:rsidR="004929B1" w:rsidRPr="002A229C" w:rsidRDefault="004929B1" w:rsidP="00A9368E">
            <w:pPr>
              <w:widowControl w:val="0"/>
              <w:autoSpaceDE w:val="0"/>
              <w:autoSpaceDN w:val="0"/>
              <w:rPr>
                <w:rFonts w:eastAsia="Calibri" w:cs="Arial"/>
                <w:sz w:val="24"/>
                <w:lang w:bidi="en-GB"/>
              </w:rPr>
            </w:pPr>
          </w:p>
        </w:tc>
      </w:tr>
      <w:tr w:rsidR="004929B1" w:rsidRPr="002A229C" w:rsidTr="00A9368E">
        <w:trPr>
          <w:trHeight w:val="2349"/>
        </w:trPr>
        <w:tc>
          <w:tcPr>
            <w:tcW w:w="8935" w:type="dxa"/>
          </w:tcPr>
          <w:p w:rsidR="004929B1" w:rsidRPr="002A229C" w:rsidRDefault="004929B1" w:rsidP="00A9368E">
            <w:pPr>
              <w:widowControl w:val="0"/>
              <w:autoSpaceDE w:val="0"/>
              <w:autoSpaceDN w:val="0"/>
              <w:rPr>
                <w:rFonts w:eastAsia="Calibri" w:cs="Arial"/>
                <w:b/>
                <w:sz w:val="24"/>
                <w:lang w:bidi="en-GB"/>
              </w:rPr>
            </w:pPr>
          </w:p>
          <w:p w:rsidR="004929B1" w:rsidRPr="002A229C" w:rsidRDefault="004929B1" w:rsidP="004929B1">
            <w:pPr>
              <w:widowControl w:val="0"/>
              <w:numPr>
                <w:ilvl w:val="0"/>
                <w:numId w:val="2"/>
              </w:numPr>
              <w:autoSpaceDE w:val="0"/>
              <w:autoSpaceDN w:val="0"/>
              <w:spacing w:after="200" w:line="276" w:lineRule="auto"/>
              <w:rPr>
                <w:rFonts w:eastAsia="Calibri" w:cs="Arial"/>
                <w:b/>
                <w:sz w:val="24"/>
                <w:lang w:bidi="en-GB"/>
              </w:rPr>
            </w:pPr>
            <w:r w:rsidRPr="002A229C">
              <w:rPr>
                <w:rFonts w:eastAsia="Calibri" w:cs="Arial"/>
                <w:b/>
                <w:sz w:val="24"/>
                <w:lang w:bidi="en-GB"/>
              </w:rPr>
              <w:t>Communication: Local Practices</w:t>
            </w:r>
          </w:p>
          <w:p w:rsidR="004929B1" w:rsidRPr="002A229C" w:rsidRDefault="004929B1" w:rsidP="00A9368E">
            <w:pPr>
              <w:widowControl w:val="0"/>
              <w:autoSpaceDE w:val="0"/>
              <w:autoSpaceDN w:val="0"/>
              <w:spacing w:before="6"/>
              <w:rPr>
                <w:rFonts w:eastAsia="Calibri" w:cs="Arial"/>
                <w:b/>
                <w:sz w:val="24"/>
                <w:lang w:bidi="en-GB"/>
              </w:rPr>
            </w:pPr>
          </w:p>
          <w:p w:rsidR="004929B1" w:rsidRPr="002A229C" w:rsidRDefault="004929B1" w:rsidP="00A9368E">
            <w:pPr>
              <w:widowControl w:val="0"/>
              <w:autoSpaceDE w:val="0"/>
              <w:autoSpaceDN w:val="0"/>
              <w:spacing w:line="237" w:lineRule="auto"/>
              <w:ind w:left="107" w:right="145"/>
              <w:jc w:val="both"/>
              <w:rPr>
                <w:rFonts w:eastAsia="Calibri" w:cs="Arial"/>
                <w:sz w:val="24"/>
                <w:lang w:bidi="en-GB"/>
              </w:rPr>
            </w:pPr>
            <w:r w:rsidRPr="002A229C">
              <w:rPr>
                <w:rFonts w:eastAsia="Calibri" w:cs="Arial"/>
                <w:sz w:val="24"/>
                <w:lang w:bidi="en-GB"/>
              </w:rPr>
              <w:t>The pharmacy should try to communicate immediately about the closure, then follow-up later on partially dispensed prescriptions or other outstanding prescription issues.</w:t>
            </w:r>
          </w:p>
          <w:p w:rsidR="004929B1" w:rsidRPr="002A229C" w:rsidRDefault="004929B1" w:rsidP="00A9368E">
            <w:pPr>
              <w:widowControl w:val="0"/>
              <w:autoSpaceDE w:val="0"/>
              <w:autoSpaceDN w:val="0"/>
              <w:spacing w:before="8"/>
              <w:rPr>
                <w:rFonts w:eastAsia="Calibri" w:cs="Arial"/>
                <w:b/>
                <w:sz w:val="24"/>
                <w:lang w:bidi="en-GB"/>
              </w:rPr>
            </w:pPr>
          </w:p>
          <w:p w:rsidR="004929B1" w:rsidRPr="002A229C" w:rsidRDefault="004929B1" w:rsidP="00A9368E">
            <w:pPr>
              <w:widowControl w:val="0"/>
              <w:autoSpaceDE w:val="0"/>
              <w:autoSpaceDN w:val="0"/>
              <w:ind w:left="107" w:right="100"/>
              <w:jc w:val="both"/>
              <w:rPr>
                <w:rFonts w:eastAsia="Calibri" w:cs="Arial"/>
                <w:b/>
                <w:sz w:val="24"/>
                <w:lang w:bidi="en-GB"/>
              </w:rPr>
            </w:pPr>
            <w:r w:rsidRPr="002A229C">
              <w:rPr>
                <w:rFonts w:eastAsia="Calibri" w:cs="Arial"/>
                <w:b/>
                <w:sz w:val="24"/>
                <w:lang w:bidi="en-GB"/>
              </w:rPr>
              <w:t>This is likely to take time. Consider if you or the local office send an email to affected practices as an immediate alert to stop patients or prescriptions being directed to the pharmacy.</w:t>
            </w:r>
          </w:p>
          <w:p w:rsidR="004929B1" w:rsidRPr="002A229C" w:rsidRDefault="004929B1" w:rsidP="00A9368E">
            <w:pPr>
              <w:widowControl w:val="0"/>
              <w:autoSpaceDE w:val="0"/>
              <w:autoSpaceDN w:val="0"/>
              <w:ind w:left="107" w:right="100"/>
              <w:jc w:val="both"/>
              <w:rPr>
                <w:rFonts w:eastAsia="Calibri" w:cs="Arial"/>
                <w:b/>
                <w:sz w:val="24"/>
                <w:lang w:bidi="en-GB"/>
              </w:rPr>
            </w:pPr>
          </w:p>
          <w:p w:rsidR="004929B1" w:rsidRDefault="004929B1" w:rsidP="00A9368E">
            <w:pPr>
              <w:widowControl w:val="0"/>
              <w:autoSpaceDE w:val="0"/>
              <w:autoSpaceDN w:val="0"/>
              <w:ind w:left="107" w:right="100"/>
              <w:jc w:val="both"/>
              <w:rPr>
                <w:rFonts w:eastAsia="Calibri" w:cs="Arial"/>
                <w:b/>
                <w:sz w:val="24"/>
                <w:lang w:bidi="en-GB"/>
              </w:rPr>
            </w:pPr>
            <w:r w:rsidRPr="002A229C">
              <w:rPr>
                <w:rFonts w:eastAsia="Calibri" w:cs="Arial"/>
                <w:b/>
                <w:sz w:val="24"/>
                <w:lang w:bidi="en-GB"/>
              </w:rPr>
              <w:t>Including a mobile telephone number to be used for the purposes of communicating about this closure only is highly recommended. This will assist with queries e.g. did a patient get a delivery; did a patient collect their medications</w:t>
            </w:r>
          </w:p>
          <w:p w:rsidR="004929B1" w:rsidRPr="002A229C" w:rsidRDefault="004929B1" w:rsidP="00A9368E">
            <w:pPr>
              <w:widowControl w:val="0"/>
              <w:autoSpaceDE w:val="0"/>
              <w:autoSpaceDN w:val="0"/>
              <w:ind w:left="107" w:right="100"/>
              <w:jc w:val="both"/>
              <w:rPr>
                <w:rFonts w:eastAsia="Calibri" w:cs="Arial"/>
                <w:b/>
                <w:sz w:val="24"/>
                <w:lang w:bidi="en-GB"/>
              </w:rPr>
            </w:pPr>
          </w:p>
        </w:tc>
        <w:tc>
          <w:tcPr>
            <w:tcW w:w="1572" w:type="dxa"/>
          </w:tcPr>
          <w:p w:rsidR="004929B1" w:rsidRPr="002A229C" w:rsidRDefault="004929B1" w:rsidP="00A9368E">
            <w:pPr>
              <w:widowControl w:val="0"/>
              <w:autoSpaceDE w:val="0"/>
              <w:autoSpaceDN w:val="0"/>
              <w:rPr>
                <w:rFonts w:eastAsia="Calibri" w:cs="Arial"/>
                <w:sz w:val="24"/>
                <w:lang w:bidi="en-GB"/>
              </w:rPr>
            </w:pPr>
          </w:p>
        </w:tc>
      </w:tr>
      <w:tr w:rsidR="004929B1" w:rsidRPr="002A229C" w:rsidTr="00A9368E">
        <w:trPr>
          <w:trHeight w:val="1323"/>
        </w:trPr>
        <w:tc>
          <w:tcPr>
            <w:tcW w:w="8935" w:type="dxa"/>
          </w:tcPr>
          <w:p w:rsidR="004929B1" w:rsidRDefault="004929B1" w:rsidP="00A9368E">
            <w:pPr>
              <w:widowControl w:val="0"/>
              <w:autoSpaceDE w:val="0"/>
              <w:autoSpaceDN w:val="0"/>
              <w:spacing w:after="200" w:line="276" w:lineRule="auto"/>
              <w:ind w:left="360"/>
              <w:rPr>
                <w:rFonts w:eastAsia="Calibri" w:cs="Arial"/>
                <w:b/>
                <w:sz w:val="24"/>
                <w:lang w:bidi="en-GB"/>
              </w:rPr>
            </w:pPr>
          </w:p>
          <w:p w:rsidR="004929B1" w:rsidRPr="002A229C" w:rsidRDefault="004929B1" w:rsidP="004929B1">
            <w:pPr>
              <w:widowControl w:val="0"/>
              <w:numPr>
                <w:ilvl w:val="0"/>
                <w:numId w:val="2"/>
              </w:numPr>
              <w:autoSpaceDE w:val="0"/>
              <w:autoSpaceDN w:val="0"/>
              <w:spacing w:after="200" w:line="276" w:lineRule="auto"/>
              <w:rPr>
                <w:rFonts w:eastAsia="Calibri" w:cs="Arial"/>
                <w:b/>
                <w:sz w:val="24"/>
                <w:lang w:bidi="en-GB"/>
              </w:rPr>
            </w:pPr>
            <w:r w:rsidRPr="002A229C">
              <w:rPr>
                <w:rFonts w:eastAsia="Calibri" w:cs="Arial"/>
                <w:b/>
                <w:sz w:val="24"/>
                <w:lang w:bidi="en-GB"/>
              </w:rPr>
              <w:t>Communication: Others</w:t>
            </w:r>
          </w:p>
          <w:p w:rsidR="004929B1" w:rsidRPr="002A229C" w:rsidRDefault="004929B1" w:rsidP="00A9368E">
            <w:pPr>
              <w:widowControl w:val="0"/>
              <w:autoSpaceDE w:val="0"/>
              <w:autoSpaceDN w:val="0"/>
              <w:ind w:left="467"/>
              <w:rPr>
                <w:rFonts w:eastAsia="Calibri" w:cs="Arial"/>
                <w:b/>
                <w:sz w:val="24"/>
                <w:lang w:bidi="en-GB"/>
              </w:rPr>
            </w:pPr>
          </w:p>
          <w:p w:rsidR="004929B1" w:rsidRPr="002A229C" w:rsidRDefault="004929B1" w:rsidP="004929B1">
            <w:pPr>
              <w:widowControl w:val="0"/>
              <w:numPr>
                <w:ilvl w:val="0"/>
                <w:numId w:val="3"/>
              </w:numPr>
              <w:autoSpaceDE w:val="0"/>
              <w:autoSpaceDN w:val="0"/>
              <w:spacing w:before="5" w:after="200" w:line="276" w:lineRule="auto"/>
              <w:rPr>
                <w:rFonts w:eastAsia="Calibri" w:cs="Arial"/>
                <w:b/>
                <w:sz w:val="24"/>
                <w:lang w:bidi="en-GB"/>
              </w:rPr>
            </w:pPr>
            <w:r w:rsidRPr="002A229C">
              <w:rPr>
                <w:rFonts w:eastAsia="Calibri" w:cs="Arial"/>
                <w:sz w:val="24"/>
                <w:lang w:bidi="en-GB"/>
              </w:rPr>
              <w:t xml:space="preserve">Domiciliary Care Team Leads to see if possible to stepdown MDS (if abrupt closure/ closure reducing capacity to safely produce MDS); </w:t>
            </w:r>
          </w:p>
          <w:p w:rsidR="004929B1" w:rsidRPr="002A229C" w:rsidRDefault="004929B1" w:rsidP="004929B1">
            <w:pPr>
              <w:widowControl w:val="0"/>
              <w:numPr>
                <w:ilvl w:val="0"/>
                <w:numId w:val="3"/>
              </w:numPr>
              <w:autoSpaceDE w:val="0"/>
              <w:autoSpaceDN w:val="0"/>
              <w:spacing w:before="5" w:after="200" w:line="276" w:lineRule="auto"/>
              <w:rPr>
                <w:rFonts w:eastAsia="Calibri" w:cs="Arial"/>
                <w:b/>
                <w:sz w:val="24"/>
                <w:lang w:bidi="en-GB"/>
              </w:rPr>
            </w:pPr>
            <w:r w:rsidRPr="002A229C">
              <w:rPr>
                <w:rFonts w:eastAsia="Calibri" w:cs="Arial"/>
                <w:sz w:val="24"/>
                <w:lang w:bidi="en-GB"/>
              </w:rPr>
              <w:t>Addiction Services re OST supervision problems</w:t>
            </w:r>
          </w:p>
        </w:tc>
        <w:tc>
          <w:tcPr>
            <w:tcW w:w="1572" w:type="dxa"/>
          </w:tcPr>
          <w:p w:rsidR="004929B1" w:rsidRPr="002A229C" w:rsidRDefault="004929B1" w:rsidP="00A9368E">
            <w:pPr>
              <w:widowControl w:val="0"/>
              <w:autoSpaceDE w:val="0"/>
              <w:autoSpaceDN w:val="0"/>
              <w:rPr>
                <w:rFonts w:eastAsia="Calibri" w:cs="Arial"/>
                <w:sz w:val="24"/>
                <w:lang w:bidi="en-GB"/>
              </w:rPr>
            </w:pPr>
          </w:p>
        </w:tc>
      </w:tr>
      <w:tr w:rsidR="004929B1" w:rsidRPr="002A229C" w:rsidTr="00A9368E">
        <w:trPr>
          <w:trHeight w:val="1323"/>
        </w:trPr>
        <w:tc>
          <w:tcPr>
            <w:tcW w:w="8935" w:type="dxa"/>
          </w:tcPr>
          <w:p w:rsidR="004929B1" w:rsidRDefault="004929B1" w:rsidP="00A9368E">
            <w:pPr>
              <w:widowControl w:val="0"/>
              <w:autoSpaceDE w:val="0"/>
              <w:autoSpaceDN w:val="0"/>
              <w:spacing w:after="200" w:line="237" w:lineRule="auto"/>
              <w:ind w:left="360" w:right="189"/>
              <w:rPr>
                <w:rFonts w:eastAsia="Calibri" w:cs="Arial"/>
                <w:b/>
                <w:sz w:val="24"/>
                <w:lang w:bidi="en-GB"/>
              </w:rPr>
            </w:pPr>
          </w:p>
          <w:p w:rsidR="004929B1" w:rsidRPr="002A229C" w:rsidRDefault="004929B1" w:rsidP="004929B1">
            <w:pPr>
              <w:widowControl w:val="0"/>
              <w:numPr>
                <w:ilvl w:val="0"/>
                <w:numId w:val="2"/>
              </w:numPr>
              <w:autoSpaceDE w:val="0"/>
              <w:autoSpaceDN w:val="0"/>
              <w:spacing w:after="200" w:line="237" w:lineRule="auto"/>
              <w:ind w:right="189"/>
              <w:rPr>
                <w:rFonts w:eastAsia="Calibri" w:cs="Arial"/>
                <w:b/>
                <w:sz w:val="24"/>
                <w:lang w:bidi="en-GB"/>
              </w:rPr>
            </w:pPr>
            <w:r w:rsidRPr="002A229C">
              <w:rPr>
                <w:rFonts w:eastAsia="Calibri" w:cs="Arial"/>
                <w:b/>
                <w:sz w:val="24"/>
                <w:lang w:bidi="en-GB"/>
              </w:rPr>
              <w:t>Business Continuity: Will your pharmacy be closed when due to cover rota?</w:t>
            </w:r>
          </w:p>
          <w:p w:rsidR="004929B1" w:rsidRPr="002A229C" w:rsidRDefault="004929B1" w:rsidP="00A9368E">
            <w:pPr>
              <w:widowControl w:val="0"/>
              <w:autoSpaceDE w:val="0"/>
              <w:autoSpaceDN w:val="0"/>
              <w:spacing w:line="237" w:lineRule="auto"/>
              <w:ind w:left="828" w:right="189" w:hanging="361"/>
              <w:rPr>
                <w:rFonts w:eastAsia="Calibri" w:cs="Arial"/>
                <w:b/>
                <w:sz w:val="24"/>
                <w:lang w:bidi="en-GB"/>
              </w:rPr>
            </w:pPr>
          </w:p>
          <w:p w:rsidR="004929B1" w:rsidRPr="002A229C" w:rsidRDefault="004929B1" w:rsidP="004929B1">
            <w:pPr>
              <w:widowControl w:val="0"/>
              <w:numPr>
                <w:ilvl w:val="0"/>
                <w:numId w:val="4"/>
              </w:numPr>
              <w:autoSpaceDE w:val="0"/>
              <w:autoSpaceDN w:val="0"/>
              <w:spacing w:after="200" w:line="276" w:lineRule="auto"/>
              <w:rPr>
                <w:rFonts w:eastAsia="Calibri" w:cs="Arial"/>
                <w:b/>
                <w:sz w:val="24"/>
                <w:lang w:bidi="en-GB"/>
              </w:rPr>
            </w:pPr>
            <w:r w:rsidRPr="002A229C">
              <w:rPr>
                <w:rFonts w:eastAsia="Calibri" w:cs="Arial"/>
                <w:sz w:val="24"/>
                <w:lang w:bidi="en-GB"/>
              </w:rPr>
              <w:t>If so, highlight to Business Support at the above emails</w:t>
            </w:r>
          </w:p>
        </w:tc>
        <w:tc>
          <w:tcPr>
            <w:tcW w:w="1572" w:type="dxa"/>
          </w:tcPr>
          <w:p w:rsidR="004929B1" w:rsidRPr="002A229C" w:rsidRDefault="004929B1" w:rsidP="00A9368E">
            <w:pPr>
              <w:widowControl w:val="0"/>
              <w:autoSpaceDE w:val="0"/>
              <w:autoSpaceDN w:val="0"/>
              <w:rPr>
                <w:rFonts w:eastAsia="Calibri" w:cs="Arial"/>
                <w:sz w:val="24"/>
                <w:lang w:bidi="en-GB"/>
              </w:rPr>
            </w:pPr>
          </w:p>
        </w:tc>
      </w:tr>
    </w:tbl>
    <w:p w:rsidR="004929B1" w:rsidRPr="002A229C" w:rsidRDefault="004929B1" w:rsidP="004929B1">
      <w:pPr>
        <w:spacing w:after="200" w:line="276" w:lineRule="auto"/>
        <w:rPr>
          <w:rFonts w:asciiTheme="minorHAnsi" w:eastAsiaTheme="minorHAnsi" w:hAnsiTheme="minorHAnsi" w:cstheme="minorBidi"/>
          <w:sz w:val="22"/>
          <w:szCs w:val="22"/>
          <w:lang w:eastAsia="en-US"/>
        </w:rPr>
      </w:pPr>
    </w:p>
    <w:p w:rsidR="004929B1" w:rsidRPr="00C02FE2" w:rsidRDefault="004929B1" w:rsidP="004929B1">
      <w:pPr>
        <w:rPr>
          <w:b/>
        </w:rPr>
      </w:pPr>
    </w:p>
    <w:p w:rsidR="004929B1" w:rsidRPr="00C02FE2" w:rsidRDefault="004929B1" w:rsidP="004929B1">
      <w:pPr>
        <w:rPr>
          <w:b/>
        </w:rPr>
      </w:pPr>
    </w:p>
    <w:p w:rsidR="00046780" w:rsidRPr="004929B1" w:rsidRDefault="004929B1" w:rsidP="004929B1">
      <w:r w:rsidRPr="00C02FE2">
        <w:rPr>
          <w:b/>
        </w:rPr>
        <w:br w:type="page"/>
      </w:r>
    </w:p>
    <w:sectPr w:rsidR="00046780" w:rsidRPr="00492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F83"/>
    <w:multiLevelType w:val="hybridMultilevel"/>
    <w:tmpl w:val="AAC864E6"/>
    <w:lvl w:ilvl="0" w:tplc="66740BD0">
      <w:start w:val="1"/>
      <w:numFmt w:val="bullet"/>
      <w:lvlText w:val=""/>
      <w:lvlJc w:val="left"/>
      <w:pPr>
        <w:ind w:left="1070" w:hanging="360"/>
      </w:pPr>
      <w:rPr>
        <w:rFonts w:ascii="Symbol" w:hAnsi="Symbol" w:hint="default"/>
        <w:sz w:val="22"/>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 w15:restartNumberingAfterBreak="0">
    <w:nsid w:val="09A52F9A"/>
    <w:multiLevelType w:val="hybridMultilevel"/>
    <w:tmpl w:val="F050C05E"/>
    <w:lvl w:ilvl="0" w:tplc="A0A212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7713B0"/>
    <w:multiLevelType w:val="hybridMultilevel"/>
    <w:tmpl w:val="E83CDF84"/>
    <w:lvl w:ilvl="0" w:tplc="66740BD0">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 w15:restartNumberingAfterBreak="0">
    <w:nsid w:val="27936E42"/>
    <w:multiLevelType w:val="hybridMultilevel"/>
    <w:tmpl w:val="5E94B694"/>
    <w:lvl w:ilvl="0" w:tplc="66740BD0">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 w15:restartNumberingAfterBreak="0">
    <w:nsid w:val="2A5E0006"/>
    <w:multiLevelType w:val="hybridMultilevel"/>
    <w:tmpl w:val="BD142FEE"/>
    <w:lvl w:ilvl="0" w:tplc="45A4F778">
      <w:numFmt w:val="bullet"/>
      <w:lvlText w:val=""/>
      <w:lvlJc w:val="left"/>
      <w:pPr>
        <w:ind w:left="1210" w:hanging="360"/>
      </w:pPr>
      <w:rPr>
        <w:rFonts w:hint="default"/>
        <w:w w:val="99"/>
        <w:sz w:val="22"/>
        <w:lang w:val="en-GB" w:eastAsia="en-GB" w:bidi="en-GB"/>
      </w:rPr>
    </w:lvl>
    <w:lvl w:ilvl="1" w:tplc="039CF89C">
      <w:numFmt w:val="bullet"/>
      <w:lvlText w:val="•"/>
      <w:lvlJc w:val="left"/>
      <w:pPr>
        <w:ind w:left="1288" w:hanging="360"/>
      </w:pPr>
      <w:rPr>
        <w:rFonts w:hint="default"/>
        <w:lang w:val="en-GB" w:eastAsia="en-GB" w:bidi="en-GB"/>
      </w:rPr>
    </w:lvl>
    <w:lvl w:ilvl="2" w:tplc="FCD2B124">
      <w:numFmt w:val="bullet"/>
      <w:lvlText w:val="•"/>
      <w:lvlJc w:val="left"/>
      <w:pPr>
        <w:ind w:left="2117" w:hanging="360"/>
      </w:pPr>
      <w:rPr>
        <w:rFonts w:hint="default"/>
        <w:lang w:val="en-GB" w:eastAsia="en-GB" w:bidi="en-GB"/>
      </w:rPr>
    </w:lvl>
    <w:lvl w:ilvl="3" w:tplc="3216FE4E">
      <w:numFmt w:val="bullet"/>
      <w:lvlText w:val="•"/>
      <w:lvlJc w:val="left"/>
      <w:pPr>
        <w:ind w:left="2946" w:hanging="360"/>
      </w:pPr>
      <w:rPr>
        <w:rFonts w:hint="default"/>
        <w:lang w:val="en-GB" w:eastAsia="en-GB" w:bidi="en-GB"/>
      </w:rPr>
    </w:lvl>
    <w:lvl w:ilvl="4" w:tplc="A7005A76">
      <w:numFmt w:val="bullet"/>
      <w:lvlText w:val="•"/>
      <w:lvlJc w:val="left"/>
      <w:pPr>
        <w:ind w:left="3774" w:hanging="360"/>
      </w:pPr>
      <w:rPr>
        <w:rFonts w:hint="default"/>
        <w:lang w:val="en-GB" w:eastAsia="en-GB" w:bidi="en-GB"/>
      </w:rPr>
    </w:lvl>
    <w:lvl w:ilvl="5" w:tplc="E14489DA">
      <w:numFmt w:val="bullet"/>
      <w:lvlText w:val="•"/>
      <w:lvlJc w:val="left"/>
      <w:pPr>
        <w:ind w:left="4603" w:hanging="360"/>
      </w:pPr>
      <w:rPr>
        <w:rFonts w:hint="default"/>
        <w:lang w:val="en-GB" w:eastAsia="en-GB" w:bidi="en-GB"/>
      </w:rPr>
    </w:lvl>
    <w:lvl w:ilvl="6" w:tplc="DE0C0150">
      <w:numFmt w:val="bullet"/>
      <w:lvlText w:val="•"/>
      <w:lvlJc w:val="left"/>
      <w:pPr>
        <w:ind w:left="5432" w:hanging="360"/>
      </w:pPr>
      <w:rPr>
        <w:rFonts w:hint="default"/>
        <w:lang w:val="en-GB" w:eastAsia="en-GB" w:bidi="en-GB"/>
      </w:rPr>
    </w:lvl>
    <w:lvl w:ilvl="7" w:tplc="9C8C4D50">
      <w:numFmt w:val="bullet"/>
      <w:lvlText w:val="•"/>
      <w:lvlJc w:val="left"/>
      <w:pPr>
        <w:ind w:left="6260" w:hanging="360"/>
      </w:pPr>
      <w:rPr>
        <w:rFonts w:hint="default"/>
        <w:lang w:val="en-GB" w:eastAsia="en-GB" w:bidi="en-GB"/>
      </w:rPr>
    </w:lvl>
    <w:lvl w:ilvl="8" w:tplc="49886F9C">
      <w:numFmt w:val="bullet"/>
      <w:lvlText w:val="•"/>
      <w:lvlJc w:val="left"/>
      <w:pPr>
        <w:ind w:left="7089" w:hanging="360"/>
      </w:pPr>
      <w:rPr>
        <w:rFonts w:hint="default"/>
        <w:lang w:val="en-GB" w:eastAsia="en-GB" w:bidi="en-GB"/>
      </w:rPr>
    </w:lvl>
  </w:abstractNum>
  <w:abstractNum w:abstractNumId="5" w15:restartNumberingAfterBreak="0">
    <w:nsid w:val="6D6218BA"/>
    <w:multiLevelType w:val="hybridMultilevel"/>
    <w:tmpl w:val="B2C0F430"/>
    <w:lvl w:ilvl="0" w:tplc="66740BD0">
      <w:start w:val="1"/>
      <w:numFmt w:val="bullet"/>
      <w:lvlText w:val=""/>
      <w:lvlJc w:val="left"/>
      <w:pPr>
        <w:ind w:left="107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929B1"/>
    <w:rsid w:val="00046780"/>
    <w:rsid w:val="004929B1"/>
    <w:rsid w:val="00915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6EE6"/>
  <w15:chartTrackingRefBased/>
  <w15:docId w15:val="{B62CBA38-9112-472D-B0D5-811267DA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9B1"/>
    <w:pPr>
      <w:spacing w:after="0" w:line="240" w:lineRule="auto"/>
    </w:pPr>
    <w:rPr>
      <w:rFonts w:ascii="Arial" w:eastAsia="Times New Roman" w:hAnsi="Arial"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acyservicesse@hscni.net" TargetMode="External"/><Relationship Id="rId3" Type="http://schemas.openxmlformats.org/officeDocument/2006/relationships/settings" Target="settings.xml"/><Relationship Id="rId7" Type="http://schemas.openxmlformats.org/officeDocument/2006/relationships/hyperlink" Target="mailto:pharmacyservicessouth@hscn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armacyservicesnorth@hscni.net" TargetMode="External"/><Relationship Id="rId11" Type="http://schemas.openxmlformats.org/officeDocument/2006/relationships/theme" Target="theme/theme1.xml"/><Relationship Id="rId5" Type="http://schemas.openxmlformats.org/officeDocument/2006/relationships/hyperlink" Target="mailto:pharmacyservicesbelfast@hscni.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harmacyserviceswest@hsc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 McLean</dc:creator>
  <cp:keywords/>
  <dc:description/>
  <cp:lastModifiedBy>Emer McLean</cp:lastModifiedBy>
  <cp:revision>2</cp:revision>
  <dcterms:created xsi:type="dcterms:W3CDTF">2025-11-18T13:37:00Z</dcterms:created>
  <dcterms:modified xsi:type="dcterms:W3CDTF">2025-11-18T13:48:00Z</dcterms:modified>
</cp:coreProperties>
</file>