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57D" w:rsidRPr="00A31C8F" w:rsidRDefault="00F52581" w:rsidP="00A31C8F">
      <w:pPr>
        <w:jc w:val="both"/>
      </w:pPr>
      <w:bookmarkStart w:id="0" w:name="OLE_LINK1"/>
      <w:bookmarkStart w:id="1" w:name="OLE_LINK2"/>
      <w:r>
        <w:rPr>
          <w:noProof/>
        </w:rPr>
        <w:drawing>
          <wp:inline distT="0" distB="0" distL="0" distR="0" wp14:anchorId="592B418D" wp14:editId="6B7E97AF">
            <wp:extent cx="2006668" cy="695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8328" cy="699365"/>
                    </a:xfrm>
                    <a:prstGeom prst="rect">
                      <a:avLst/>
                    </a:prstGeom>
                    <a:noFill/>
                    <a:ln>
                      <a:noFill/>
                    </a:ln>
                  </pic:spPr>
                </pic:pic>
              </a:graphicData>
            </a:graphic>
          </wp:inline>
        </w:drawing>
      </w:r>
    </w:p>
    <w:p w:rsidR="00E9248D" w:rsidRDefault="00E9248D" w:rsidP="00E9248D">
      <w:pPr>
        <w:rPr>
          <w:b/>
          <w:color w:val="4F81BD" w:themeColor="accent1"/>
        </w:rPr>
      </w:pPr>
    </w:p>
    <w:p w:rsidR="00E9248D" w:rsidRDefault="00E9248D" w:rsidP="00E9248D">
      <w:pPr>
        <w:rPr>
          <w:b/>
          <w:color w:val="4F81BD" w:themeColor="accent1"/>
        </w:rPr>
      </w:pPr>
      <w:r>
        <w:rPr>
          <w:b/>
          <w:color w:val="4F81BD" w:themeColor="accent1"/>
        </w:rPr>
        <w:t>Log of version changes</w:t>
      </w:r>
      <w:r w:rsidRPr="00254AF8">
        <w:rPr>
          <w:b/>
          <w:color w:val="4F81BD" w:themeColor="accent1"/>
        </w:rPr>
        <w:t>:</w:t>
      </w:r>
    </w:p>
    <w:p w:rsidR="00E9248D" w:rsidRDefault="00E9248D" w:rsidP="00E9248D">
      <w:pPr>
        <w:rPr>
          <w:b/>
          <w:color w:val="4F81BD" w:themeColor="accent1"/>
        </w:rPr>
      </w:pPr>
    </w:p>
    <w:tbl>
      <w:tblPr>
        <w:tblStyle w:val="GridTable1Light-Accent1"/>
        <w:tblW w:w="0" w:type="auto"/>
        <w:tblInd w:w="-113" w:type="dxa"/>
        <w:tblLook w:val="04A0" w:firstRow="1" w:lastRow="0" w:firstColumn="1" w:lastColumn="0" w:noHBand="0" w:noVBand="1"/>
      </w:tblPr>
      <w:tblGrid>
        <w:gridCol w:w="1097"/>
        <w:gridCol w:w="1972"/>
        <w:gridCol w:w="1418"/>
        <w:gridCol w:w="4071"/>
      </w:tblGrid>
      <w:tr w:rsidR="00E9248D" w:rsidTr="004575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00E9248D" w:rsidRDefault="00E9248D" w:rsidP="004575E2">
            <w:r>
              <w:t>Version</w:t>
            </w:r>
          </w:p>
        </w:tc>
        <w:tc>
          <w:tcPr>
            <w:tcW w:w="1972" w:type="dxa"/>
          </w:tcPr>
          <w:p w:rsidR="00E9248D" w:rsidRDefault="00E9248D" w:rsidP="004575E2">
            <w:pPr>
              <w:cnfStyle w:val="100000000000" w:firstRow="1" w:lastRow="0" w:firstColumn="0" w:lastColumn="0" w:oddVBand="0" w:evenVBand="0" w:oddHBand="0" w:evenHBand="0" w:firstRowFirstColumn="0" w:firstRowLastColumn="0" w:lastRowFirstColumn="0" w:lastRowLastColumn="0"/>
            </w:pPr>
            <w:r>
              <w:t>Author</w:t>
            </w:r>
          </w:p>
        </w:tc>
        <w:tc>
          <w:tcPr>
            <w:tcW w:w="1375" w:type="dxa"/>
          </w:tcPr>
          <w:p w:rsidR="00E9248D" w:rsidRDefault="00E9248D" w:rsidP="004575E2">
            <w:pPr>
              <w:cnfStyle w:val="100000000000" w:firstRow="1" w:lastRow="0" w:firstColumn="0" w:lastColumn="0" w:oddVBand="0" w:evenVBand="0" w:oddHBand="0" w:evenHBand="0" w:firstRowFirstColumn="0" w:firstRowLastColumn="0" w:lastRowFirstColumn="0" w:lastRowLastColumn="0"/>
            </w:pPr>
            <w:r>
              <w:t>Date</w:t>
            </w:r>
          </w:p>
        </w:tc>
        <w:tc>
          <w:tcPr>
            <w:tcW w:w="4071" w:type="dxa"/>
          </w:tcPr>
          <w:p w:rsidR="00E9248D" w:rsidRDefault="00E9248D" w:rsidP="004575E2">
            <w:pPr>
              <w:cnfStyle w:val="100000000000" w:firstRow="1" w:lastRow="0" w:firstColumn="0" w:lastColumn="0" w:oddVBand="0" w:evenVBand="0" w:oddHBand="0" w:evenHBand="0" w:firstRowFirstColumn="0" w:firstRowLastColumn="0" w:lastRowFirstColumn="0" w:lastRowLastColumn="0"/>
            </w:pPr>
            <w:r>
              <w:t>Description of Changes</w:t>
            </w:r>
          </w:p>
        </w:tc>
      </w:tr>
      <w:tr w:rsidR="00E9248D" w:rsidTr="004575E2">
        <w:tc>
          <w:tcPr>
            <w:cnfStyle w:val="001000000000" w:firstRow="0" w:lastRow="0" w:firstColumn="1" w:lastColumn="0" w:oddVBand="0" w:evenVBand="0" w:oddHBand="0" w:evenHBand="0" w:firstRowFirstColumn="0" w:firstRowLastColumn="0" w:lastRowFirstColumn="0" w:lastRowLastColumn="0"/>
            <w:tcW w:w="986" w:type="dxa"/>
          </w:tcPr>
          <w:p w:rsidR="00E9248D" w:rsidRDefault="00E9248D" w:rsidP="004575E2">
            <w:r>
              <w:t>3.4</w:t>
            </w:r>
          </w:p>
        </w:tc>
        <w:tc>
          <w:tcPr>
            <w:tcW w:w="1972" w:type="dxa"/>
          </w:tcPr>
          <w:p w:rsidR="00E9248D" w:rsidRDefault="00E9248D" w:rsidP="004575E2">
            <w:pPr>
              <w:cnfStyle w:val="000000000000" w:firstRow="0" w:lastRow="0" w:firstColumn="0" w:lastColumn="0" w:oddVBand="0" w:evenVBand="0" w:oddHBand="0" w:evenHBand="0" w:firstRowFirstColumn="0" w:firstRowLastColumn="0" w:lastRowFirstColumn="0" w:lastRowLastColumn="0"/>
            </w:pPr>
            <w:r>
              <w:t>Alan Harbinson</w:t>
            </w:r>
          </w:p>
        </w:tc>
        <w:tc>
          <w:tcPr>
            <w:tcW w:w="1375" w:type="dxa"/>
          </w:tcPr>
          <w:p w:rsidR="00E9248D" w:rsidRDefault="00E9248D" w:rsidP="004575E2">
            <w:pPr>
              <w:cnfStyle w:val="000000000000" w:firstRow="0" w:lastRow="0" w:firstColumn="0" w:lastColumn="0" w:oddVBand="0" w:evenVBand="0" w:oddHBand="0" w:evenHBand="0" w:firstRowFirstColumn="0" w:firstRowLastColumn="0" w:lastRowFirstColumn="0" w:lastRowLastColumn="0"/>
            </w:pPr>
            <w:r>
              <w:t>11</w:t>
            </w:r>
            <w:r w:rsidRPr="00B04C86">
              <w:t>/</w:t>
            </w:r>
            <w:r>
              <w:t>12</w:t>
            </w:r>
            <w:r w:rsidRPr="00B04C86">
              <w:t>/20</w:t>
            </w:r>
            <w:r>
              <w:t>25</w:t>
            </w:r>
          </w:p>
        </w:tc>
        <w:tc>
          <w:tcPr>
            <w:tcW w:w="4071" w:type="dxa"/>
          </w:tcPr>
          <w:p w:rsidR="00E9248D" w:rsidRDefault="00E9248D" w:rsidP="004575E2">
            <w:pPr>
              <w:cnfStyle w:val="000000000000" w:firstRow="0" w:lastRow="0" w:firstColumn="0" w:lastColumn="0" w:oddVBand="0" w:evenVBand="0" w:oddHBand="0" w:evenHBand="0" w:firstRowFirstColumn="0" w:firstRowLastColumn="0" w:lastRowFirstColumn="0" w:lastRowLastColumn="0"/>
            </w:pPr>
            <w:r>
              <w:t>Update</w:t>
            </w:r>
          </w:p>
        </w:tc>
      </w:tr>
      <w:tr w:rsidR="00E9248D" w:rsidTr="004575E2">
        <w:tc>
          <w:tcPr>
            <w:cnfStyle w:val="001000000000" w:firstRow="0" w:lastRow="0" w:firstColumn="1" w:lastColumn="0" w:oddVBand="0" w:evenVBand="0" w:oddHBand="0" w:evenHBand="0" w:firstRowFirstColumn="0" w:firstRowLastColumn="0" w:lastRowFirstColumn="0" w:lastRowLastColumn="0"/>
            <w:tcW w:w="986" w:type="dxa"/>
          </w:tcPr>
          <w:p w:rsidR="00E9248D" w:rsidRDefault="007C566E" w:rsidP="004575E2">
            <w:r>
              <w:t>3.5</w:t>
            </w:r>
          </w:p>
        </w:tc>
        <w:tc>
          <w:tcPr>
            <w:tcW w:w="1972" w:type="dxa"/>
          </w:tcPr>
          <w:p w:rsidR="00E9248D" w:rsidRDefault="007C566E" w:rsidP="004575E2">
            <w:pPr>
              <w:cnfStyle w:val="000000000000" w:firstRow="0" w:lastRow="0" w:firstColumn="0" w:lastColumn="0" w:oddVBand="0" w:evenVBand="0" w:oddHBand="0" w:evenHBand="0" w:firstRowFirstColumn="0" w:firstRowLastColumn="0" w:lastRowFirstColumn="0" w:lastRowLastColumn="0"/>
            </w:pPr>
            <w:r>
              <w:t>Rory Cunningham</w:t>
            </w:r>
          </w:p>
        </w:tc>
        <w:tc>
          <w:tcPr>
            <w:tcW w:w="1375" w:type="dxa"/>
          </w:tcPr>
          <w:p w:rsidR="00E9248D" w:rsidRDefault="007C566E" w:rsidP="004575E2">
            <w:pPr>
              <w:cnfStyle w:val="000000000000" w:firstRow="0" w:lastRow="0" w:firstColumn="0" w:lastColumn="0" w:oddVBand="0" w:evenVBand="0" w:oddHBand="0" w:evenHBand="0" w:firstRowFirstColumn="0" w:firstRowLastColumn="0" w:lastRowFirstColumn="0" w:lastRowLastColumn="0"/>
            </w:pPr>
            <w:r>
              <w:t>06/01/2026</w:t>
            </w:r>
          </w:p>
        </w:tc>
        <w:tc>
          <w:tcPr>
            <w:tcW w:w="4071" w:type="dxa"/>
          </w:tcPr>
          <w:p w:rsidR="00E9248D" w:rsidRDefault="00717A96" w:rsidP="004575E2">
            <w:pPr>
              <w:cnfStyle w:val="000000000000" w:firstRow="0" w:lastRow="0" w:firstColumn="0" w:lastColumn="0" w:oddVBand="0" w:evenVBand="0" w:oddHBand="0" w:evenHBand="0" w:firstRowFirstColumn="0" w:firstRowLastColumn="0" w:lastRowFirstColumn="0" w:lastRowLastColumn="0"/>
            </w:pPr>
            <w:r>
              <w:t>Terminology review</w:t>
            </w:r>
          </w:p>
        </w:tc>
      </w:tr>
      <w:tr w:rsidR="00E9248D" w:rsidTr="004575E2">
        <w:tc>
          <w:tcPr>
            <w:cnfStyle w:val="001000000000" w:firstRow="0" w:lastRow="0" w:firstColumn="1" w:lastColumn="0" w:oddVBand="0" w:evenVBand="0" w:oddHBand="0" w:evenHBand="0" w:firstRowFirstColumn="0" w:firstRowLastColumn="0" w:lastRowFirstColumn="0" w:lastRowLastColumn="0"/>
            <w:tcW w:w="986" w:type="dxa"/>
          </w:tcPr>
          <w:p w:rsidR="00E9248D" w:rsidRDefault="00E9248D" w:rsidP="004575E2"/>
        </w:tc>
        <w:tc>
          <w:tcPr>
            <w:tcW w:w="1972" w:type="dxa"/>
          </w:tcPr>
          <w:p w:rsidR="00E9248D" w:rsidRDefault="00E9248D" w:rsidP="004575E2">
            <w:pPr>
              <w:cnfStyle w:val="000000000000" w:firstRow="0" w:lastRow="0" w:firstColumn="0" w:lastColumn="0" w:oddVBand="0" w:evenVBand="0" w:oddHBand="0" w:evenHBand="0" w:firstRowFirstColumn="0" w:firstRowLastColumn="0" w:lastRowFirstColumn="0" w:lastRowLastColumn="0"/>
            </w:pPr>
          </w:p>
        </w:tc>
        <w:tc>
          <w:tcPr>
            <w:tcW w:w="1375" w:type="dxa"/>
          </w:tcPr>
          <w:p w:rsidR="00E9248D" w:rsidRDefault="00E9248D" w:rsidP="004575E2">
            <w:pPr>
              <w:cnfStyle w:val="000000000000" w:firstRow="0" w:lastRow="0" w:firstColumn="0" w:lastColumn="0" w:oddVBand="0" w:evenVBand="0" w:oddHBand="0" w:evenHBand="0" w:firstRowFirstColumn="0" w:firstRowLastColumn="0" w:lastRowFirstColumn="0" w:lastRowLastColumn="0"/>
            </w:pPr>
          </w:p>
        </w:tc>
        <w:tc>
          <w:tcPr>
            <w:tcW w:w="4071" w:type="dxa"/>
          </w:tcPr>
          <w:p w:rsidR="00E9248D" w:rsidRDefault="00E9248D" w:rsidP="004575E2">
            <w:pPr>
              <w:cnfStyle w:val="000000000000" w:firstRow="0" w:lastRow="0" w:firstColumn="0" w:lastColumn="0" w:oddVBand="0" w:evenVBand="0" w:oddHBand="0" w:evenHBand="0" w:firstRowFirstColumn="0" w:firstRowLastColumn="0" w:lastRowFirstColumn="0" w:lastRowLastColumn="0"/>
            </w:pPr>
          </w:p>
        </w:tc>
      </w:tr>
      <w:tr w:rsidR="00E9248D" w:rsidTr="004575E2">
        <w:tc>
          <w:tcPr>
            <w:cnfStyle w:val="001000000000" w:firstRow="0" w:lastRow="0" w:firstColumn="1" w:lastColumn="0" w:oddVBand="0" w:evenVBand="0" w:oddHBand="0" w:evenHBand="0" w:firstRowFirstColumn="0" w:firstRowLastColumn="0" w:lastRowFirstColumn="0" w:lastRowLastColumn="0"/>
            <w:tcW w:w="986" w:type="dxa"/>
          </w:tcPr>
          <w:p w:rsidR="00E9248D" w:rsidRDefault="00E9248D" w:rsidP="004575E2"/>
        </w:tc>
        <w:tc>
          <w:tcPr>
            <w:tcW w:w="1972" w:type="dxa"/>
          </w:tcPr>
          <w:p w:rsidR="00E9248D" w:rsidRDefault="00E9248D" w:rsidP="004575E2">
            <w:pPr>
              <w:cnfStyle w:val="000000000000" w:firstRow="0" w:lastRow="0" w:firstColumn="0" w:lastColumn="0" w:oddVBand="0" w:evenVBand="0" w:oddHBand="0" w:evenHBand="0" w:firstRowFirstColumn="0" w:firstRowLastColumn="0" w:lastRowFirstColumn="0" w:lastRowLastColumn="0"/>
            </w:pPr>
          </w:p>
        </w:tc>
        <w:tc>
          <w:tcPr>
            <w:tcW w:w="1375" w:type="dxa"/>
          </w:tcPr>
          <w:p w:rsidR="00E9248D" w:rsidRDefault="00E9248D" w:rsidP="004575E2">
            <w:pPr>
              <w:cnfStyle w:val="000000000000" w:firstRow="0" w:lastRow="0" w:firstColumn="0" w:lastColumn="0" w:oddVBand="0" w:evenVBand="0" w:oddHBand="0" w:evenHBand="0" w:firstRowFirstColumn="0" w:firstRowLastColumn="0" w:lastRowFirstColumn="0" w:lastRowLastColumn="0"/>
            </w:pPr>
          </w:p>
        </w:tc>
        <w:tc>
          <w:tcPr>
            <w:tcW w:w="4071" w:type="dxa"/>
          </w:tcPr>
          <w:p w:rsidR="00E9248D" w:rsidRDefault="00E9248D" w:rsidP="004575E2">
            <w:pPr>
              <w:cnfStyle w:val="000000000000" w:firstRow="0" w:lastRow="0" w:firstColumn="0" w:lastColumn="0" w:oddVBand="0" w:evenVBand="0" w:oddHBand="0" w:evenHBand="0" w:firstRowFirstColumn="0" w:firstRowLastColumn="0" w:lastRowFirstColumn="0" w:lastRowLastColumn="0"/>
            </w:pPr>
          </w:p>
        </w:tc>
      </w:tr>
    </w:tbl>
    <w:p w:rsidR="00E9248D" w:rsidRDefault="00E9248D" w:rsidP="00E9248D">
      <w:pPr>
        <w:rPr>
          <w:b/>
          <w:color w:val="4F81BD" w:themeColor="accent1"/>
        </w:rPr>
      </w:pPr>
    </w:p>
    <w:p w:rsidR="007F1463" w:rsidRPr="00A31C8F" w:rsidRDefault="007F1463" w:rsidP="00A31C8F">
      <w:pPr>
        <w:spacing w:before="240"/>
        <w:jc w:val="both"/>
        <w:rPr>
          <w:lang w:eastAsia="en-US"/>
        </w:rPr>
      </w:pPr>
    </w:p>
    <w:p w:rsidR="007F1463" w:rsidRPr="00A31C8F" w:rsidRDefault="00DD6AB1" w:rsidP="00A31C8F">
      <w:pPr>
        <w:jc w:val="both"/>
        <w:rPr>
          <w:b/>
          <w:sz w:val="32"/>
          <w:szCs w:val="32"/>
        </w:rPr>
      </w:pPr>
      <w:r w:rsidRPr="00A31C8F">
        <w:rPr>
          <w:b/>
          <w:sz w:val="32"/>
          <w:szCs w:val="32"/>
        </w:rPr>
        <w:t>H</w:t>
      </w:r>
      <w:r w:rsidR="00A31C8F">
        <w:rPr>
          <w:b/>
          <w:sz w:val="32"/>
          <w:szCs w:val="32"/>
        </w:rPr>
        <w:t xml:space="preserve">onest </w:t>
      </w:r>
      <w:r w:rsidRPr="00A31C8F">
        <w:rPr>
          <w:b/>
          <w:sz w:val="32"/>
          <w:szCs w:val="32"/>
        </w:rPr>
        <w:t>B</w:t>
      </w:r>
      <w:r w:rsidR="00A31C8F">
        <w:rPr>
          <w:b/>
          <w:sz w:val="32"/>
          <w:szCs w:val="32"/>
        </w:rPr>
        <w:t xml:space="preserve">roker </w:t>
      </w:r>
      <w:r w:rsidRPr="00A31C8F">
        <w:rPr>
          <w:b/>
          <w:sz w:val="32"/>
          <w:szCs w:val="32"/>
        </w:rPr>
        <w:t>S</w:t>
      </w:r>
      <w:r w:rsidR="00A31C8F">
        <w:rPr>
          <w:b/>
          <w:sz w:val="32"/>
          <w:szCs w:val="32"/>
        </w:rPr>
        <w:t>ervice</w:t>
      </w:r>
      <w:r w:rsidRPr="00A31C8F">
        <w:rPr>
          <w:b/>
          <w:sz w:val="32"/>
          <w:szCs w:val="32"/>
        </w:rPr>
        <w:t xml:space="preserve"> Final Output</w:t>
      </w:r>
      <w:r w:rsidR="007F1463" w:rsidRPr="00A31C8F">
        <w:rPr>
          <w:b/>
          <w:sz w:val="32"/>
          <w:szCs w:val="32"/>
        </w:rPr>
        <w:t xml:space="preserve"> Clearance</w:t>
      </w:r>
    </w:p>
    <w:p w:rsidR="007F1463" w:rsidRPr="00A31C8F" w:rsidRDefault="007F1463" w:rsidP="00A31C8F">
      <w:pPr>
        <w:jc w:val="both"/>
      </w:pPr>
      <w:bookmarkStart w:id="2" w:name="_GoBack"/>
      <w:bookmarkEnd w:id="2"/>
    </w:p>
    <w:p w:rsidR="007F1463" w:rsidRPr="00AD3166" w:rsidRDefault="007F1463" w:rsidP="00A31C8F">
      <w:pPr>
        <w:autoSpaceDE w:val="0"/>
        <w:autoSpaceDN w:val="0"/>
        <w:adjustRightInd w:val="0"/>
        <w:jc w:val="both"/>
        <w:rPr>
          <w:b/>
          <w:sz w:val="28"/>
          <w:szCs w:val="28"/>
        </w:rPr>
      </w:pPr>
      <w:r w:rsidRPr="00AD3166">
        <w:rPr>
          <w:b/>
          <w:sz w:val="28"/>
          <w:szCs w:val="28"/>
        </w:rPr>
        <w:t>Gene</w:t>
      </w:r>
      <w:r w:rsidR="00DD6AB1" w:rsidRPr="00AD3166">
        <w:rPr>
          <w:b/>
          <w:sz w:val="28"/>
          <w:szCs w:val="28"/>
        </w:rPr>
        <w:t>ral Guidelines for Final Output</w:t>
      </w:r>
      <w:r w:rsidRPr="00AD3166">
        <w:rPr>
          <w:b/>
          <w:sz w:val="28"/>
          <w:szCs w:val="28"/>
        </w:rPr>
        <w:t xml:space="preserve"> Clearance</w:t>
      </w:r>
    </w:p>
    <w:p w:rsidR="007F1463" w:rsidRPr="00A31C8F" w:rsidRDefault="007F1463" w:rsidP="00A31C8F">
      <w:pPr>
        <w:autoSpaceDE w:val="0"/>
        <w:autoSpaceDN w:val="0"/>
        <w:adjustRightInd w:val="0"/>
        <w:jc w:val="both"/>
        <w:rPr>
          <w:b/>
        </w:rPr>
      </w:pPr>
    </w:p>
    <w:p w:rsidR="007F1463" w:rsidRPr="00A31C8F" w:rsidRDefault="007F1463" w:rsidP="00A31C8F">
      <w:pPr>
        <w:spacing w:after="120"/>
        <w:jc w:val="both"/>
        <w:rPr>
          <w:b/>
        </w:rPr>
      </w:pPr>
      <w:r w:rsidRPr="00A31C8F">
        <w:rPr>
          <w:sz w:val="22"/>
          <w:szCs w:val="22"/>
        </w:rPr>
        <w:t>When you want to disseminate your H</w:t>
      </w:r>
      <w:r w:rsidR="00A31C8F">
        <w:rPr>
          <w:sz w:val="22"/>
          <w:szCs w:val="22"/>
        </w:rPr>
        <w:t xml:space="preserve">onest </w:t>
      </w:r>
      <w:r w:rsidRPr="00A31C8F">
        <w:rPr>
          <w:sz w:val="22"/>
          <w:szCs w:val="22"/>
        </w:rPr>
        <w:t>B</w:t>
      </w:r>
      <w:r w:rsidR="00A31C8F">
        <w:rPr>
          <w:sz w:val="22"/>
          <w:szCs w:val="22"/>
        </w:rPr>
        <w:t xml:space="preserve">roker </w:t>
      </w:r>
      <w:r w:rsidRPr="00A31C8F">
        <w:rPr>
          <w:sz w:val="22"/>
          <w:szCs w:val="22"/>
        </w:rPr>
        <w:t>S</w:t>
      </w:r>
      <w:r w:rsidR="00A31C8F">
        <w:rPr>
          <w:sz w:val="22"/>
          <w:szCs w:val="22"/>
        </w:rPr>
        <w:t>ervice (HBS)</w:t>
      </w:r>
      <w:r w:rsidRPr="00A31C8F">
        <w:rPr>
          <w:sz w:val="22"/>
          <w:szCs w:val="22"/>
        </w:rPr>
        <w:t xml:space="preserve"> results beyond your project team (named in the HBS </w:t>
      </w:r>
      <w:r w:rsidR="00DC4760" w:rsidRPr="00A31C8F">
        <w:rPr>
          <w:sz w:val="22"/>
          <w:szCs w:val="22"/>
        </w:rPr>
        <w:t xml:space="preserve">Research </w:t>
      </w:r>
      <w:r w:rsidR="00A31C8F">
        <w:rPr>
          <w:sz w:val="22"/>
          <w:szCs w:val="22"/>
        </w:rPr>
        <w:t xml:space="preserve">Data </w:t>
      </w:r>
      <w:r w:rsidR="00DC4760" w:rsidRPr="00A31C8F">
        <w:rPr>
          <w:sz w:val="22"/>
          <w:szCs w:val="22"/>
        </w:rPr>
        <w:t xml:space="preserve">Access </w:t>
      </w:r>
      <w:r w:rsidRPr="00A31C8F">
        <w:rPr>
          <w:sz w:val="22"/>
          <w:szCs w:val="22"/>
        </w:rPr>
        <w:t xml:space="preserve">Agreement) </w:t>
      </w:r>
      <w:r w:rsidRPr="00A31C8F">
        <w:rPr>
          <w:b/>
          <w:sz w:val="22"/>
          <w:szCs w:val="22"/>
        </w:rPr>
        <w:t>you must obtain Final Output Clearance from the Honest Broker Advice Service (HBAS)</w:t>
      </w:r>
      <w:r w:rsidRPr="00A31C8F">
        <w:rPr>
          <w:sz w:val="22"/>
          <w:szCs w:val="22"/>
        </w:rPr>
        <w:t xml:space="preserve"> using the HBS Final Output Clearance Form (attached).  This process for clearing final outputs reduces the risk of disclosure, ensures that HBS and data are properly described and that the data have been used appropriately.</w:t>
      </w:r>
      <w:r w:rsidRPr="00A31C8F">
        <w:rPr>
          <w:b/>
          <w:sz w:val="22"/>
          <w:szCs w:val="22"/>
        </w:rPr>
        <w:t xml:space="preserve"> </w:t>
      </w:r>
    </w:p>
    <w:p w:rsidR="007F1463" w:rsidRPr="00A31C8F" w:rsidRDefault="007F1463" w:rsidP="00A31C8F">
      <w:pPr>
        <w:spacing w:after="120"/>
        <w:jc w:val="both"/>
        <w:rPr>
          <w:b/>
        </w:rPr>
      </w:pPr>
      <w:r w:rsidRPr="00A31C8F">
        <w:rPr>
          <w:sz w:val="22"/>
          <w:szCs w:val="22"/>
        </w:rPr>
        <w:t xml:space="preserve">Examples of final outputs are working papers, reports or journal articles intended for publication, presentations or abstracts. </w:t>
      </w:r>
    </w:p>
    <w:p w:rsidR="007F1463" w:rsidRPr="00A31C8F" w:rsidRDefault="007F1463" w:rsidP="00A31C8F">
      <w:pPr>
        <w:spacing w:after="120"/>
        <w:jc w:val="both"/>
      </w:pPr>
      <w:r w:rsidRPr="00A31C8F">
        <w:rPr>
          <w:sz w:val="22"/>
          <w:szCs w:val="22"/>
        </w:rPr>
        <w:t xml:space="preserve">You should allow a maximum of </w:t>
      </w:r>
      <w:r w:rsidRPr="00A31C8F">
        <w:rPr>
          <w:b/>
          <w:sz w:val="22"/>
          <w:szCs w:val="22"/>
        </w:rPr>
        <w:t>20 working days</w:t>
      </w:r>
      <w:r w:rsidRPr="00A31C8F">
        <w:rPr>
          <w:sz w:val="22"/>
          <w:szCs w:val="22"/>
        </w:rPr>
        <w:t xml:space="preserve"> for clearance of all final outputs, with the exception of conference and journal abstracts, for which </w:t>
      </w:r>
      <w:r w:rsidR="00481EBB">
        <w:rPr>
          <w:b/>
          <w:sz w:val="22"/>
          <w:szCs w:val="22"/>
        </w:rPr>
        <w:t>five</w:t>
      </w:r>
      <w:r w:rsidRPr="00A31C8F">
        <w:rPr>
          <w:b/>
          <w:sz w:val="22"/>
          <w:szCs w:val="22"/>
        </w:rPr>
        <w:t xml:space="preserve"> working days</w:t>
      </w:r>
      <w:r w:rsidRPr="00A31C8F">
        <w:rPr>
          <w:sz w:val="22"/>
          <w:szCs w:val="22"/>
        </w:rPr>
        <w:t xml:space="preserve"> are required. </w:t>
      </w:r>
    </w:p>
    <w:p w:rsidR="007F1463" w:rsidRPr="00A31C8F" w:rsidRDefault="007F1463" w:rsidP="00A31C8F">
      <w:pPr>
        <w:spacing w:after="120"/>
        <w:jc w:val="both"/>
      </w:pPr>
      <w:r w:rsidRPr="00A31C8F">
        <w:rPr>
          <w:sz w:val="22"/>
          <w:szCs w:val="22"/>
        </w:rPr>
        <w:t xml:space="preserve">Although not a formal scientific review, the HBAS may provide comments that the researcher may wish to consider. </w:t>
      </w:r>
    </w:p>
    <w:p w:rsidR="007F1463" w:rsidRDefault="007F1463" w:rsidP="00A31C8F">
      <w:pPr>
        <w:spacing w:after="120"/>
        <w:jc w:val="both"/>
        <w:rPr>
          <w:sz w:val="22"/>
          <w:szCs w:val="22"/>
        </w:rPr>
      </w:pPr>
      <w:r w:rsidRPr="00A31C8F">
        <w:rPr>
          <w:sz w:val="22"/>
          <w:szCs w:val="22"/>
        </w:rPr>
        <w:t>All final outputs MUST have a health and social care element</w:t>
      </w:r>
      <w:r w:rsidR="00223104" w:rsidRPr="00A31C8F">
        <w:rPr>
          <w:sz w:val="22"/>
          <w:szCs w:val="22"/>
        </w:rPr>
        <w:t>.</w:t>
      </w:r>
    </w:p>
    <w:p w:rsidR="00ED1622" w:rsidRDefault="00ED1622" w:rsidP="00ED1622">
      <w:pPr>
        <w:autoSpaceDE w:val="0"/>
        <w:autoSpaceDN w:val="0"/>
        <w:adjustRightInd w:val="0"/>
        <w:jc w:val="both"/>
        <w:rPr>
          <w:sz w:val="22"/>
          <w:szCs w:val="22"/>
        </w:rPr>
      </w:pPr>
      <w:r w:rsidRPr="00476D41">
        <w:rPr>
          <w:sz w:val="22"/>
          <w:szCs w:val="22"/>
        </w:rPr>
        <w:t>The Honest Broker Service is publicly funded to facilitate research and therefore has a responsibility to the health service as well as the Northern Ireland public.  Feedback is an essential part of the service so it is paramount for the findings of all HBS research projects to be access</w:t>
      </w:r>
      <w:r>
        <w:rPr>
          <w:sz w:val="22"/>
          <w:szCs w:val="22"/>
        </w:rPr>
        <w:t>ible within the public domain.</w:t>
      </w:r>
    </w:p>
    <w:p w:rsidR="00ED1622" w:rsidRDefault="00ED1622" w:rsidP="00ED1622">
      <w:pPr>
        <w:autoSpaceDE w:val="0"/>
        <w:autoSpaceDN w:val="0"/>
        <w:adjustRightInd w:val="0"/>
        <w:jc w:val="both"/>
        <w:rPr>
          <w:sz w:val="22"/>
          <w:szCs w:val="22"/>
        </w:rPr>
      </w:pPr>
    </w:p>
    <w:p w:rsidR="00ED1622" w:rsidRPr="00476D41" w:rsidRDefault="00ED1622" w:rsidP="00ED1622">
      <w:pPr>
        <w:autoSpaceDE w:val="0"/>
        <w:autoSpaceDN w:val="0"/>
        <w:adjustRightInd w:val="0"/>
        <w:jc w:val="both"/>
        <w:rPr>
          <w:sz w:val="22"/>
          <w:szCs w:val="22"/>
        </w:rPr>
      </w:pPr>
      <w:r>
        <w:rPr>
          <w:sz w:val="22"/>
          <w:szCs w:val="22"/>
        </w:rPr>
        <w:t xml:space="preserve">To enable this all project teams </w:t>
      </w:r>
      <w:r w:rsidRPr="00827FB1">
        <w:rPr>
          <w:b/>
          <w:sz w:val="22"/>
          <w:szCs w:val="22"/>
        </w:rPr>
        <w:t>must submit a lay summary of their project to the HBAS</w:t>
      </w:r>
      <w:r>
        <w:rPr>
          <w:sz w:val="22"/>
          <w:szCs w:val="22"/>
        </w:rPr>
        <w:t xml:space="preserve"> at the conclusion of their project.  This will be published on the HBS website.</w:t>
      </w:r>
    </w:p>
    <w:p w:rsidR="007F1463" w:rsidRPr="00A31C8F" w:rsidRDefault="007F1463" w:rsidP="00ED1622">
      <w:pPr>
        <w:spacing w:after="120"/>
        <w:jc w:val="both"/>
        <w:rPr>
          <w:b/>
          <w:sz w:val="22"/>
          <w:szCs w:val="22"/>
        </w:rPr>
      </w:pPr>
    </w:p>
    <w:p w:rsidR="007F1463" w:rsidRPr="00AD3166" w:rsidRDefault="007F1463" w:rsidP="00A31C8F">
      <w:pPr>
        <w:spacing w:after="120"/>
        <w:jc w:val="both"/>
        <w:rPr>
          <w:b/>
          <w:sz w:val="28"/>
          <w:szCs w:val="28"/>
        </w:rPr>
      </w:pPr>
      <w:r w:rsidRPr="00AD3166">
        <w:rPr>
          <w:b/>
          <w:sz w:val="28"/>
          <w:szCs w:val="28"/>
        </w:rPr>
        <w:t>F</w:t>
      </w:r>
      <w:r w:rsidR="00A31C8F" w:rsidRPr="00AD3166">
        <w:rPr>
          <w:b/>
          <w:sz w:val="28"/>
          <w:szCs w:val="28"/>
        </w:rPr>
        <w:t>inal Outputs Clearance Criteria</w:t>
      </w:r>
    </w:p>
    <w:p w:rsidR="00223104" w:rsidRPr="00A31C8F" w:rsidRDefault="00223104" w:rsidP="00A31C8F">
      <w:pPr>
        <w:autoSpaceDE w:val="0"/>
        <w:autoSpaceDN w:val="0"/>
        <w:adjustRightInd w:val="0"/>
        <w:jc w:val="both"/>
        <w:rPr>
          <w:b/>
          <w:sz w:val="22"/>
          <w:szCs w:val="22"/>
        </w:rPr>
      </w:pPr>
    </w:p>
    <w:p w:rsidR="007F1463" w:rsidRPr="00A31C8F" w:rsidRDefault="007F1463" w:rsidP="00A31C8F">
      <w:pPr>
        <w:autoSpaceDE w:val="0"/>
        <w:autoSpaceDN w:val="0"/>
        <w:adjustRightInd w:val="0"/>
        <w:jc w:val="both"/>
        <w:rPr>
          <w:b/>
        </w:rPr>
      </w:pPr>
      <w:r w:rsidRPr="00A31C8F">
        <w:rPr>
          <w:b/>
          <w:sz w:val="22"/>
          <w:szCs w:val="22"/>
        </w:rPr>
        <w:t>Describing the Honest Broker Service</w:t>
      </w:r>
    </w:p>
    <w:p w:rsidR="00DF5767" w:rsidRDefault="00DF5767" w:rsidP="00A31C8F">
      <w:pPr>
        <w:autoSpaceDE w:val="0"/>
        <w:autoSpaceDN w:val="0"/>
        <w:adjustRightInd w:val="0"/>
        <w:jc w:val="both"/>
        <w:rPr>
          <w:sz w:val="22"/>
          <w:szCs w:val="22"/>
        </w:rPr>
      </w:pPr>
    </w:p>
    <w:p w:rsidR="00A31C8F" w:rsidRPr="00A31C8F" w:rsidRDefault="00A31C8F" w:rsidP="00A31C8F">
      <w:pPr>
        <w:autoSpaceDE w:val="0"/>
        <w:autoSpaceDN w:val="0"/>
        <w:adjustRightInd w:val="0"/>
        <w:jc w:val="both"/>
        <w:rPr>
          <w:sz w:val="22"/>
          <w:szCs w:val="22"/>
        </w:rPr>
      </w:pPr>
      <w:r w:rsidRPr="00A31C8F">
        <w:rPr>
          <w:sz w:val="22"/>
          <w:szCs w:val="22"/>
        </w:rPr>
        <w:t>When describing the HBS the following points should be used as guidance:</w:t>
      </w:r>
    </w:p>
    <w:p w:rsidR="00A31C8F" w:rsidRPr="00A31C8F" w:rsidRDefault="00A31C8F" w:rsidP="00A31C8F">
      <w:pPr>
        <w:pStyle w:val="ListParagraph"/>
        <w:autoSpaceDE w:val="0"/>
        <w:autoSpaceDN w:val="0"/>
        <w:adjustRightInd w:val="0"/>
        <w:ind w:left="360"/>
        <w:jc w:val="both"/>
        <w:rPr>
          <w:sz w:val="22"/>
          <w:szCs w:val="22"/>
        </w:rPr>
      </w:pPr>
    </w:p>
    <w:p w:rsidR="00D21783" w:rsidRDefault="00D21783" w:rsidP="00D21783">
      <w:pPr>
        <w:pStyle w:val="ListParagraph"/>
        <w:numPr>
          <w:ilvl w:val="0"/>
          <w:numId w:val="11"/>
        </w:numPr>
        <w:ind w:left="426"/>
        <w:jc w:val="both"/>
        <w:rPr>
          <w:sz w:val="22"/>
          <w:szCs w:val="22"/>
        </w:rPr>
      </w:pPr>
      <w:r w:rsidRPr="00803FCC">
        <w:rPr>
          <w:sz w:val="22"/>
          <w:szCs w:val="22"/>
        </w:rPr>
        <w:lastRenderedPageBreak/>
        <w:t>The HSC Honest Broker Service is the main Trusted Research Environment for accessing Healthcare</w:t>
      </w:r>
      <w:r>
        <w:rPr>
          <w:sz w:val="22"/>
          <w:szCs w:val="22"/>
        </w:rPr>
        <w:t xml:space="preserve"> Related Service User Data for a</w:t>
      </w:r>
      <w:r w:rsidRPr="00803FCC">
        <w:rPr>
          <w:sz w:val="22"/>
          <w:szCs w:val="22"/>
        </w:rPr>
        <w:t xml:space="preserve">nalysis in Northern Ireland. </w:t>
      </w:r>
      <w:r>
        <w:rPr>
          <w:sz w:val="22"/>
          <w:szCs w:val="22"/>
        </w:rPr>
        <w:t xml:space="preserve"> </w:t>
      </w:r>
      <w:r w:rsidRPr="00803FCC">
        <w:rPr>
          <w:sz w:val="22"/>
          <w:szCs w:val="22"/>
        </w:rPr>
        <w:t xml:space="preserve">The Honest Broker Service provides access to </w:t>
      </w:r>
      <w:r w:rsidR="007C566E">
        <w:rPr>
          <w:sz w:val="22"/>
          <w:szCs w:val="22"/>
        </w:rPr>
        <w:t>anonymised</w:t>
      </w:r>
      <w:r w:rsidRPr="00803FCC">
        <w:rPr>
          <w:sz w:val="22"/>
          <w:szCs w:val="22"/>
        </w:rPr>
        <w:t xml:space="preserve"> data via a safe setting</w:t>
      </w:r>
      <w:r>
        <w:rPr>
          <w:sz w:val="22"/>
          <w:szCs w:val="22"/>
        </w:rPr>
        <w:t xml:space="preserve"> for approved health and social care related research.</w:t>
      </w:r>
    </w:p>
    <w:p w:rsidR="00D21783" w:rsidRPr="00803FCC" w:rsidRDefault="00D21783" w:rsidP="00D21783">
      <w:pPr>
        <w:pStyle w:val="ListParagraph"/>
        <w:ind w:left="426"/>
        <w:jc w:val="both"/>
        <w:rPr>
          <w:sz w:val="22"/>
          <w:szCs w:val="22"/>
        </w:rPr>
      </w:pPr>
    </w:p>
    <w:p w:rsidR="00D21783" w:rsidRPr="00107CBE" w:rsidRDefault="00D21783" w:rsidP="00D21783">
      <w:pPr>
        <w:pStyle w:val="ListParagraph"/>
        <w:numPr>
          <w:ilvl w:val="0"/>
          <w:numId w:val="11"/>
        </w:numPr>
        <w:ind w:left="426"/>
        <w:jc w:val="both"/>
        <w:rPr>
          <w:sz w:val="22"/>
          <w:szCs w:val="22"/>
        </w:rPr>
      </w:pPr>
      <w:r>
        <w:rPr>
          <w:sz w:val="22"/>
          <w:szCs w:val="22"/>
        </w:rPr>
        <w:t xml:space="preserve">The HBS </w:t>
      </w:r>
      <w:r w:rsidRPr="00107CBE">
        <w:rPr>
          <w:sz w:val="22"/>
          <w:szCs w:val="22"/>
        </w:rPr>
        <w:t xml:space="preserve">provides </w:t>
      </w:r>
      <w:r w:rsidR="007C566E">
        <w:rPr>
          <w:sz w:val="22"/>
          <w:szCs w:val="22"/>
        </w:rPr>
        <w:t>anonymised</w:t>
      </w:r>
      <w:r w:rsidRPr="00107CBE">
        <w:rPr>
          <w:sz w:val="22"/>
          <w:szCs w:val="22"/>
        </w:rPr>
        <w:t xml:space="preserve"> or aggregated data from the Regional Data Warehouse, held within Business Services Organisation (BSO</w:t>
      </w:r>
      <w:r>
        <w:rPr>
          <w:sz w:val="22"/>
          <w:szCs w:val="22"/>
        </w:rPr>
        <w:t>).</w:t>
      </w:r>
    </w:p>
    <w:p w:rsidR="00D21783" w:rsidRPr="00107CBE" w:rsidRDefault="00D21783" w:rsidP="00D21783">
      <w:pPr>
        <w:pStyle w:val="ListParagraph"/>
        <w:ind w:left="426"/>
        <w:jc w:val="both"/>
        <w:rPr>
          <w:sz w:val="22"/>
          <w:szCs w:val="22"/>
        </w:rPr>
      </w:pPr>
    </w:p>
    <w:p w:rsidR="00AA2D32" w:rsidRPr="00AA2D32" w:rsidRDefault="00D21783" w:rsidP="00AA2D32">
      <w:pPr>
        <w:pStyle w:val="ListParagraph"/>
        <w:numPr>
          <w:ilvl w:val="0"/>
          <w:numId w:val="11"/>
        </w:numPr>
        <w:ind w:left="426"/>
        <w:jc w:val="both"/>
        <w:rPr>
          <w:sz w:val="22"/>
          <w:szCs w:val="22"/>
        </w:rPr>
      </w:pPr>
      <w:r w:rsidRPr="00107CBE">
        <w:rPr>
          <w:sz w:val="22"/>
          <w:szCs w:val="22"/>
        </w:rPr>
        <w:t>All HBS processes are in line with UK General Data Protection Regulation (UK GDPR), confidentiality requirements and the ICO’s Codes of Practice.</w:t>
      </w:r>
    </w:p>
    <w:p w:rsidR="00AA2D32" w:rsidRPr="00AA2D32" w:rsidRDefault="00AA2D32" w:rsidP="00AA2D32">
      <w:pPr>
        <w:pStyle w:val="ListParagraph"/>
        <w:ind w:left="426"/>
        <w:jc w:val="both"/>
        <w:rPr>
          <w:sz w:val="22"/>
          <w:szCs w:val="22"/>
        </w:rPr>
      </w:pPr>
    </w:p>
    <w:p w:rsidR="00D21783" w:rsidRPr="00107CBE" w:rsidRDefault="00D21783" w:rsidP="00D21783">
      <w:pPr>
        <w:pStyle w:val="ListParagraph"/>
        <w:numPr>
          <w:ilvl w:val="0"/>
          <w:numId w:val="11"/>
        </w:numPr>
        <w:ind w:left="426"/>
        <w:jc w:val="both"/>
        <w:rPr>
          <w:sz w:val="22"/>
          <w:szCs w:val="22"/>
        </w:rPr>
      </w:pPr>
      <w:r w:rsidRPr="00107CBE">
        <w:rPr>
          <w:sz w:val="22"/>
          <w:szCs w:val="22"/>
        </w:rPr>
        <w:t>All direct real-world identifiers are removed from the information and the potential identifiability of the remaining information is limited as far as is practical or appropriate.  A legally binding contract is signed by all researchers to prevent re-identification of individual personal data.</w:t>
      </w:r>
    </w:p>
    <w:p w:rsidR="00D21783" w:rsidRPr="00107CBE" w:rsidRDefault="00D21783" w:rsidP="00D21783">
      <w:pPr>
        <w:pStyle w:val="ListParagraph"/>
        <w:ind w:left="426"/>
        <w:jc w:val="both"/>
        <w:rPr>
          <w:sz w:val="22"/>
          <w:szCs w:val="22"/>
        </w:rPr>
      </w:pPr>
    </w:p>
    <w:p w:rsidR="00D21783" w:rsidRPr="00107CBE" w:rsidRDefault="00D21783" w:rsidP="00D21783">
      <w:pPr>
        <w:pStyle w:val="ListParagraph"/>
        <w:numPr>
          <w:ilvl w:val="0"/>
          <w:numId w:val="11"/>
        </w:numPr>
        <w:ind w:left="426"/>
        <w:jc w:val="both"/>
        <w:rPr>
          <w:sz w:val="22"/>
          <w:szCs w:val="22"/>
        </w:rPr>
      </w:pPr>
      <w:r w:rsidRPr="00107CBE">
        <w:rPr>
          <w:sz w:val="22"/>
          <w:szCs w:val="22"/>
        </w:rPr>
        <w:t>HBS is a safe and secure environment in which the data are processed and, in some cases, linked to other data before being provided in an approved format to the research team.  Data can only be accessed via the HBS secure research environment (or ‘safe haven’) which is based in Business Services Organisation (BSO) in Franklin Street, Belfast or remotely via the UK Secure e-Research Platform (SeRP).</w:t>
      </w:r>
    </w:p>
    <w:p w:rsidR="00D21783" w:rsidRPr="00107CBE" w:rsidRDefault="00D21783" w:rsidP="00D21783">
      <w:pPr>
        <w:pStyle w:val="ListParagraph"/>
        <w:ind w:left="426"/>
        <w:jc w:val="both"/>
        <w:rPr>
          <w:sz w:val="22"/>
          <w:szCs w:val="22"/>
        </w:rPr>
      </w:pPr>
    </w:p>
    <w:p w:rsidR="00D21783" w:rsidRPr="00107CBE" w:rsidRDefault="00D21783" w:rsidP="00D21783">
      <w:pPr>
        <w:pStyle w:val="ListParagraph"/>
        <w:numPr>
          <w:ilvl w:val="0"/>
          <w:numId w:val="11"/>
        </w:numPr>
        <w:ind w:left="426"/>
        <w:jc w:val="both"/>
        <w:rPr>
          <w:sz w:val="22"/>
          <w:szCs w:val="22"/>
        </w:rPr>
      </w:pPr>
      <w:r w:rsidRPr="00107CBE">
        <w:rPr>
          <w:sz w:val="22"/>
          <w:szCs w:val="22"/>
        </w:rPr>
        <w:t xml:space="preserve">Where more than one data source is required, datasets are linked in the HBS secure environment using the </w:t>
      </w:r>
      <w:r>
        <w:rPr>
          <w:sz w:val="22"/>
          <w:szCs w:val="22"/>
        </w:rPr>
        <w:t>Health and Care Number (HCN)</w:t>
      </w:r>
      <w:r w:rsidRPr="00107CBE">
        <w:rPr>
          <w:sz w:val="22"/>
          <w:szCs w:val="22"/>
        </w:rPr>
        <w:t xml:space="preserve"> as the unique identifier.  This, and any other potentially identifiable </w:t>
      </w:r>
      <w:r>
        <w:rPr>
          <w:sz w:val="22"/>
          <w:szCs w:val="22"/>
        </w:rPr>
        <w:t xml:space="preserve">service user </w:t>
      </w:r>
      <w:r w:rsidRPr="00107CBE">
        <w:rPr>
          <w:sz w:val="22"/>
          <w:szCs w:val="22"/>
        </w:rPr>
        <w:t>data, is removed from the dataset before it is provided to the research team in the agreed safe environment.</w:t>
      </w:r>
    </w:p>
    <w:p w:rsidR="00D21783" w:rsidRPr="00107CBE" w:rsidRDefault="00D21783" w:rsidP="00D21783">
      <w:pPr>
        <w:pStyle w:val="ListParagraph"/>
        <w:ind w:left="426"/>
        <w:jc w:val="both"/>
        <w:rPr>
          <w:sz w:val="22"/>
          <w:szCs w:val="22"/>
        </w:rPr>
      </w:pPr>
    </w:p>
    <w:p w:rsidR="00D21783" w:rsidRPr="00107CBE" w:rsidRDefault="00D21783" w:rsidP="00D21783">
      <w:pPr>
        <w:pStyle w:val="ListParagraph"/>
        <w:numPr>
          <w:ilvl w:val="0"/>
          <w:numId w:val="11"/>
        </w:numPr>
        <w:ind w:left="426"/>
        <w:jc w:val="both"/>
        <w:rPr>
          <w:sz w:val="22"/>
          <w:szCs w:val="22"/>
        </w:rPr>
      </w:pPr>
      <w:r w:rsidRPr="00107CBE">
        <w:rPr>
          <w:sz w:val="22"/>
          <w:szCs w:val="22"/>
        </w:rPr>
        <w:t>All HBS outputs are subject to statistical disclosure control to protect patient confidentiality.</w:t>
      </w:r>
    </w:p>
    <w:p w:rsidR="007F1463" w:rsidRPr="00A31C8F" w:rsidRDefault="007F1463" w:rsidP="00A31C8F">
      <w:pPr>
        <w:autoSpaceDE w:val="0"/>
        <w:autoSpaceDN w:val="0"/>
        <w:adjustRightInd w:val="0"/>
        <w:jc w:val="both"/>
        <w:rPr>
          <w:sz w:val="22"/>
          <w:szCs w:val="22"/>
        </w:rPr>
      </w:pPr>
    </w:p>
    <w:p w:rsidR="007F1463" w:rsidRPr="00A31C8F" w:rsidRDefault="007F1463" w:rsidP="00A31C8F">
      <w:pPr>
        <w:autoSpaceDE w:val="0"/>
        <w:autoSpaceDN w:val="0"/>
        <w:adjustRightInd w:val="0"/>
        <w:jc w:val="both"/>
        <w:rPr>
          <w:b/>
        </w:rPr>
      </w:pPr>
      <w:r w:rsidRPr="00A31C8F">
        <w:rPr>
          <w:b/>
          <w:sz w:val="22"/>
          <w:szCs w:val="22"/>
        </w:rPr>
        <w:t>Results</w:t>
      </w:r>
    </w:p>
    <w:p w:rsidR="007F1463" w:rsidRPr="00A31C8F" w:rsidRDefault="007F1463" w:rsidP="00A31C8F">
      <w:pPr>
        <w:autoSpaceDE w:val="0"/>
        <w:autoSpaceDN w:val="0"/>
        <w:adjustRightInd w:val="0"/>
        <w:jc w:val="both"/>
      </w:pPr>
    </w:p>
    <w:p w:rsidR="00A31C8F" w:rsidRPr="00A31C8F" w:rsidRDefault="00A31C8F" w:rsidP="00A31C8F">
      <w:pPr>
        <w:jc w:val="both"/>
        <w:rPr>
          <w:sz w:val="22"/>
          <w:szCs w:val="22"/>
        </w:rPr>
      </w:pPr>
      <w:r w:rsidRPr="00A31C8F">
        <w:rPr>
          <w:sz w:val="22"/>
          <w:szCs w:val="22"/>
        </w:rPr>
        <w:t>Neither the results displayed in outputs nor discussion concerning them must raise confidentiality or disclosure issues.  This also includes any possibility of differencing between tables within an article. There must be a health and social care aspect to all of the research results.</w:t>
      </w:r>
    </w:p>
    <w:p w:rsidR="00476D41" w:rsidRDefault="00476D41" w:rsidP="00A31C8F">
      <w:pPr>
        <w:jc w:val="both"/>
        <w:rPr>
          <w:sz w:val="22"/>
          <w:szCs w:val="22"/>
        </w:rPr>
      </w:pPr>
    </w:p>
    <w:p w:rsidR="00476D41" w:rsidRPr="00476D41" w:rsidRDefault="00476D41" w:rsidP="00476D41">
      <w:pPr>
        <w:jc w:val="both"/>
        <w:rPr>
          <w:sz w:val="22"/>
          <w:szCs w:val="22"/>
        </w:rPr>
      </w:pPr>
      <w:r w:rsidRPr="00476D41">
        <w:rPr>
          <w:sz w:val="22"/>
          <w:szCs w:val="22"/>
        </w:rPr>
        <w:t>Before researchers submit outputs for clearance the following should be considered:</w:t>
      </w:r>
    </w:p>
    <w:p w:rsidR="00476D41" w:rsidRPr="00476D41" w:rsidRDefault="00476D41" w:rsidP="00476D41">
      <w:pPr>
        <w:jc w:val="both"/>
        <w:rPr>
          <w:sz w:val="22"/>
          <w:szCs w:val="22"/>
        </w:rPr>
      </w:pPr>
    </w:p>
    <w:p w:rsidR="00476D41" w:rsidRPr="00476D41" w:rsidRDefault="00476D41" w:rsidP="00476D41">
      <w:pPr>
        <w:pStyle w:val="ListParagraph"/>
        <w:numPr>
          <w:ilvl w:val="0"/>
          <w:numId w:val="11"/>
        </w:numPr>
        <w:jc w:val="both"/>
        <w:rPr>
          <w:sz w:val="22"/>
          <w:szCs w:val="22"/>
        </w:rPr>
      </w:pPr>
      <w:r w:rsidRPr="00476D41">
        <w:rPr>
          <w:sz w:val="22"/>
          <w:szCs w:val="22"/>
        </w:rPr>
        <w:t>The Threshold Rule for all clearances is 10 so no individual cell within a tabular output should contain less than 10 unweighted units.</w:t>
      </w:r>
    </w:p>
    <w:p w:rsidR="00476D41" w:rsidRPr="00476D41" w:rsidRDefault="00476D41" w:rsidP="00476D41">
      <w:pPr>
        <w:pStyle w:val="ListParagraph"/>
        <w:jc w:val="both"/>
        <w:rPr>
          <w:sz w:val="22"/>
          <w:szCs w:val="22"/>
        </w:rPr>
      </w:pPr>
    </w:p>
    <w:p w:rsidR="00476D41" w:rsidRPr="00476D41" w:rsidRDefault="00476D41" w:rsidP="00476D41">
      <w:pPr>
        <w:pStyle w:val="ListParagraph"/>
        <w:numPr>
          <w:ilvl w:val="0"/>
          <w:numId w:val="11"/>
        </w:numPr>
        <w:jc w:val="both"/>
        <w:rPr>
          <w:sz w:val="22"/>
          <w:szCs w:val="22"/>
        </w:rPr>
      </w:pPr>
      <w:r w:rsidRPr="00476D41">
        <w:rPr>
          <w:sz w:val="22"/>
          <w:szCs w:val="22"/>
        </w:rPr>
        <w:t xml:space="preserve">Zeroes should not be submitted for release unless they are zeroes by definition, for example, the number of </w:t>
      </w:r>
      <w:r w:rsidR="00833146">
        <w:rPr>
          <w:sz w:val="22"/>
          <w:szCs w:val="22"/>
        </w:rPr>
        <w:t>COVID-19 Vaccinations administered in 2018, as the vaccine was not developed and approved for use until December 2020.</w:t>
      </w:r>
    </w:p>
    <w:p w:rsidR="00476D41" w:rsidRPr="00476D41" w:rsidRDefault="00476D41" w:rsidP="00476D41">
      <w:pPr>
        <w:pStyle w:val="ListParagraph"/>
        <w:rPr>
          <w:sz w:val="22"/>
          <w:szCs w:val="22"/>
        </w:rPr>
      </w:pPr>
    </w:p>
    <w:p w:rsidR="00476D41" w:rsidRPr="00476D41" w:rsidRDefault="00476D41" w:rsidP="00476D41">
      <w:pPr>
        <w:pStyle w:val="ListParagraph"/>
        <w:numPr>
          <w:ilvl w:val="0"/>
          <w:numId w:val="11"/>
        </w:numPr>
        <w:jc w:val="both"/>
        <w:rPr>
          <w:sz w:val="22"/>
          <w:szCs w:val="22"/>
        </w:rPr>
      </w:pPr>
      <w:r w:rsidRPr="00476D41">
        <w:rPr>
          <w:sz w:val="22"/>
          <w:szCs w:val="22"/>
        </w:rPr>
        <w:t>Maximum and minimum values should not be submitted for release.</w:t>
      </w:r>
    </w:p>
    <w:p w:rsidR="00476D41" w:rsidRPr="00476D41" w:rsidRDefault="00476D41" w:rsidP="00476D41">
      <w:pPr>
        <w:pStyle w:val="ListParagraph"/>
        <w:rPr>
          <w:sz w:val="22"/>
          <w:szCs w:val="22"/>
        </w:rPr>
      </w:pPr>
    </w:p>
    <w:p w:rsidR="00476D41" w:rsidRPr="00476D41" w:rsidRDefault="00476D41" w:rsidP="00476D41">
      <w:pPr>
        <w:pStyle w:val="ListParagraph"/>
        <w:numPr>
          <w:ilvl w:val="0"/>
          <w:numId w:val="11"/>
        </w:numPr>
        <w:jc w:val="both"/>
        <w:rPr>
          <w:sz w:val="22"/>
          <w:szCs w:val="22"/>
        </w:rPr>
      </w:pPr>
      <w:r w:rsidRPr="00476D41">
        <w:rPr>
          <w:sz w:val="22"/>
          <w:szCs w:val="22"/>
        </w:rPr>
        <w:t>The Threshold Rule also applies to outputs from statistical modelling, for example, regression analysis.  Any output based on less than 10 observations should not be submitted for clearance.  To allow the HBAS to check these outputs the input data for the model must be provided alongside the output.</w:t>
      </w:r>
    </w:p>
    <w:p w:rsidR="007F1463" w:rsidRPr="00A31C8F" w:rsidRDefault="007F1463" w:rsidP="00A31C8F">
      <w:pPr>
        <w:autoSpaceDE w:val="0"/>
        <w:autoSpaceDN w:val="0"/>
        <w:adjustRightInd w:val="0"/>
        <w:jc w:val="both"/>
      </w:pPr>
    </w:p>
    <w:p w:rsidR="007F1463" w:rsidRPr="00A31C8F" w:rsidRDefault="007F1463" w:rsidP="00A31C8F">
      <w:pPr>
        <w:autoSpaceDE w:val="0"/>
        <w:autoSpaceDN w:val="0"/>
        <w:adjustRightInd w:val="0"/>
        <w:jc w:val="both"/>
        <w:rPr>
          <w:b/>
        </w:rPr>
      </w:pPr>
      <w:r w:rsidRPr="00A31C8F">
        <w:rPr>
          <w:b/>
          <w:sz w:val="22"/>
          <w:szCs w:val="22"/>
        </w:rPr>
        <w:lastRenderedPageBreak/>
        <w:t>Acknowledgments</w:t>
      </w:r>
    </w:p>
    <w:p w:rsidR="007F1463" w:rsidRPr="00A31C8F" w:rsidRDefault="007F1463" w:rsidP="00A31C8F">
      <w:pPr>
        <w:autoSpaceDE w:val="0"/>
        <w:autoSpaceDN w:val="0"/>
        <w:adjustRightInd w:val="0"/>
        <w:jc w:val="both"/>
      </w:pPr>
    </w:p>
    <w:p w:rsidR="00AA2D32" w:rsidRDefault="009F11DF" w:rsidP="00476D41">
      <w:pPr>
        <w:autoSpaceDE w:val="0"/>
        <w:autoSpaceDN w:val="0"/>
        <w:adjustRightInd w:val="0"/>
        <w:jc w:val="both"/>
        <w:rPr>
          <w:sz w:val="22"/>
          <w:szCs w:val="22"/>
        </w:rPr>
      </w:pPr>
      <w:r w:rsidRPr="009F11DF">
        <w:rPr>
          <w:sz w:val="22"/>
          <w:szCs w:val="22"/>
        </w:rPr>
        <w:t>As a condition for accessing data via the Honest Broker Service researchers must agree to acknowledge the HBS in any presentations, reports or other publicati</w:t>
      </w:r>
      <w:r>
        <w:rPr>
          <w:sz w:val="22"/>
          <w:szCs w:val="22"/>
        </w:rPr>
        <w:t>ons</w:t>
      </w:r>
      <w:r w:rsidR="00AA2D32">
        <w:rPr>
          <w:sz w:val="22"/>
          <w:szCs w:val="22"/>
        </w:rPr>
        <w:t xml:space="preserve">. </w:t>
      </w:r>
      <w:r w:rsidR="00AA2D32" w:rsidRPr="00AA2D32">
        <w:rPr>
          <w:color w:val="FF0000"/>
          <w:sz w:val="22"/>
          <w:szCs w:val="22"/>
        </w:rPr>
        <w:t>Outputs submitted without this will be rejected.</w:t>
      </w:r>
    </w:p>
    <w:p w:rsidR="00AA2D32" w:rsidRDefault="00AA2D32" w:rsidP="00476D41">
      <w:pPr>
        <w:autoSpaceDE w:val="0"/>
        <w:autoSpaceDN w:val="0"/>
        <w:adjustRightInd w:val="0"/>
        <w:jc w:val="both"/>
        <w:rPr>
          <w:sz w:val="22"/>
          <w:szCs w:val="22"/>
        </w:rPr>
      </w:pPr>
    </w:p>
    <w:p w:rsidR="00A31C8F" w:rsidRPr="00A31C8F" w:rsidRDefault="00AA2D32" w:rsidP="00476D41">
      <w:pPr>
        <w:autoSpaceDE w:val="0"/>
        <w:autoSpaceDN w:val="0"/>
        <w:adjustRightInd w:val="0"/>
        <w:jc w:val="both"/>
        <w:rPr>
          <w:sz w:val="22"/>
          <w:szCs w:val="22"/>
        </w:rPr>
      </w:pPr>
      <w:r>
        <w:rPr>
          <w:sz w:val="22"/>
          <w:szCs w:val="22"/>
        </w:rPr>
        <w:t>We would request the</w:t>
      </w:r>
      <w:r w:rsidR="009F11DF">
        <w:rPr>
          <w:sz w:val="22"/>
          <w:szCs w:val="22"/>
        </w:rPr>
        <w:t xml:space="preserve"> us</w:t>
      </w:r>
      <w:r>
        <w:rPr>
          <w:sz w:val="22"/>
          <w:szCs w:val="22"/>
        </w:rPr>
        <w:t>e of</w:t>
      </w:r>
      <w:r w:rsidR="009F11DF">
        <w:rPr>
          <w:sz w:val="22"/>
          <w:szCs w:val="22"/>
        </w:rPr>
        <w:t xml:space="preserve"> the following </w:t>
      </w:r>
      <w:r>
        <w:rPr>
          <w:sz w:val="22"/>
          <w:szCs w:val="22"/>
        </w:rPr>
        <w:t>standard acknowledgement:</w:t>
      </w:r>
    </w:p>
    <w:p w:rsidR="00A31C8F" w:rsidRPr="00A31C8F" w:rsidRDefault="00A31C8F" w:rsidP="00A31C8F">
      <w:pPr>
        <w:autoSpaceDE w:val="0"/>
        <w:autoSpaceDN w:val="0"/>
        <w:adjustRightInd w:val="0"/>
        <w:jc w:val="both"/>
        <w:rPr>
          <w:sz w:val="22"/>
          <w:szCs w:val="22"/>
        </w:rPr>
      </w:pPr>
    </w:p>
    <w:p w:rsidR="007F1463" w:rsidRPr="00AA2D32" w:rsidRDefault="00A31C8F" w:rsidP="00A31C8F">
      <w:pPr>
        <w:autoSpaceDE w:val="0"/>
        <w:autoSpaceDN w:val="0"/>
        <w:adjustRightInd w:val="0"/>
        <w:jc w:val="both"/>
        <w:rPr>
          <w:i/>
          <w:sz w:val="22"/>
          <w:szCs w:val="22"/>
        </w:rPr>
      </w:pPr>
      <w:r w:rsidRPr="00AA2D32">
        <w:rPr>
          <w:i/>
          <w:sz w:val="22"/>
          <w:szCs w:val="22"/>
        </w:rPr>
        <w:t>“The authors would like to acknowledge the help provided by the staff of the Honest Broker Service (HBS) within the Business Services Organisation Northern Ireland (BSO).  The HBS is funded by the BSO and the Department of Health (DoH).  The authors alone are responsible for the interpretation of the data and any views or opinions presented are solely those of the author and do not necessarily represent those of the BSO.”</w:t>
      </w:r>
    </w:p>
    <w:p w:rsidR="00ED1622" w:rsidRDefault="00ED1622" w:rsidP="00A31C8F">
      <w:pPr>
        <w:autoSpaceDE w:val="0"/>
        <w:autoSpaceDN w:val="0"/>
        <w:adjustRightInd w:val="0"/>
        <w:jc w:val="both"/>
        <w:rPr>
          <w:sz w:val="22"/>
          <w:szCs w:val="22"/>
        </w:rPr>
      </w:pPr>
    </w:p>
    <w:p w:rsidR="00AA2D32" w:rsidRDefault="00AA2D32" w:rsidP="00AA2D32">
      <w:pPr>
        <w:rPr>
          <w:color w:val="FF0000"/>
          <w:sz w:val="22"/>
          <w:szCs w:val="22"/>
        </w:rPr>
      </w:pPr>
      <w:r w:rsidRPr="00DF5767">
        <w:rPr>
          <w:color w:val="FF0000"/>
          <w:sz w:val="22"/>
          <w:szCs w:val="22"/>
        </w:rPr>
        <w:t xml:space="preserve">HBS would accept the following statement </w:t>
      </w:r>
      <w:r w:rsidRPr="00DF5767">
        <w:rPr>
          <w:b/>
          <w:color w:val="FF0000"/>
          <w:sz w:val="22"/>
          <w:szCs w:val="22"/>
          <w:u w:val="single"/>
        </w:rPr>
        <w:t>as a minimum</w:t>
      </w:r>
      <w:r w:rsidRPr="00DF5767">
        <w:rPr>
          <w:color w:val="FF0000"/>
          <w:sz w:val="22"/>
          <w:szCs w:val="22"/>
        </w:rPr>
        <w:t xml:space="preserve"> for acknowledgement in abstracts etc. where wordcount prevents</w:t>
      </w:r>
      <w:r>
        <w:rPr>
          <w:color w:val="FF0000"/>
          <w:sz w:val="22"/>
          <w:szCs w:val="22"/>
        </w:rPr>
        <w:t xml:space="preserve"> the use of the standard wording</w:t>
      </w:r>
      <w:r w:rsidRPr="00DF5767">
        <w:rPr>
          <w:color w:val="FF0000"/>
          <w:sz w:val="22"/>
          <w:szCs w:val="22"/>
        </w:rPr>
        <w:t xml:space="preserve">: </w:t>
      </w:r>
    </w:p>
    <w:p w:rsidR="00AA2D32" w:rsidRDefault="00AA2D32" w:rsidP="00AA2D32">
      <w:pPr>
        <w:rPr>
          <w:color w:val="FF0000"/>
          <w:sz w:val="22"/>
          <w:szCs w:val="22"/>
        </w:rPr>
      </w:pPr>
    </w:p>
    <w:p w:rsidR="00AA2D32" w:rsidRPr="00293BB5" w:rsidRDefault="00AA2D32" w:rsidP="00AA2D32">
      <w:pPr>
        <w:pStyle w:val="ListParagraph"/>
        <w:numPr>
          <w:ilvl w:val="0"/>
          <w:numId w:val="11"/>
        </w:numPr>
        <w:ind w:left="426" w:hanging="426"/>
        <w:rPr>
          <w:rFonts w:ascii="Calibri" w:hAnsi="Calibri" w:cs="Calibri"/>
          <w:iCs/>
          <w:color w:val="FF0000"/>
          <w:sz w:val="22"/>
          <w:szCs w:val="22"/>
        </w:rPr>
      </w:pPr>
      <w:bookmarkStart w:id="3" w:name="_Hlk190948360"/>
      <w:r w:rsidRPr="00DF5767">
        <w:rPr>
          <w:color w:val="FF0000"/>
          <w:sz w:val="22"/>
          <w:szCs w:val="22"/>
        </w:rPr>
        <w:t>“</w:t>
      </w:r>
      <w:r w:rsidRPr="00DF5767">
        <w:rPr>
          <w:i/>
          <w:iCs/>
          <w:color w:val="FF0000"/>
          <w:sz w:val="22"/>
          <w:szCs w:val="22"/>
        </w:rPr>
        <w:t>Data for this project was provided by the HSC Honest Broker Service; any views or opinions presented are solely those of the author.”</w:t>
      </w:r>
    </w:p>
    <w:bookmarkEnd w:id="3"/>
    <w:p w:rsidR="00AA2D32" w:rsidRDefault="00AA2D32" w:rsidP="00AA2D32">
      <w:pPr>
        <w:rPr>
          <w:iCs/>
          <w:color w:val="FF0000"/>
          <w:sz w:val="22"/>
          <w:szCs w:val="22"/>
        </w:rPr>
      </w:pPr>
    </w:p>
    <w:p w:rsidR="00AA2D32" w:rsidRPr="00AA2D32" w:rsidRDefault="00AA2D32" w:rsidP="00AA2D32">
      <w:pPr>
        <w:rPr>
          <w:rFonts w:ascii="Calibri" w:hAnsi="Calibri" w:cs="Calibri"/>
          <w:iCs/>
          <w:color w:val="FF0000"/>
          <w:sz w:val="22"/>
          <w:szCs w:val="22"/>
        </w:rPr>
      </w:pPr>
      <w:r w:rsidRPr="00AA2D32">
        <w:rPr>
          <w:iCs/>
          <w:color w:val="FF0000"/>
          <w:sz w:val="22"/>
          <w:szCs w:val="22"/>
        </w:rPr>
        <w:t>However</w:t>
      </w:r>
      <w:r>
        <w:rPr>
          <w:iCs/>
          <w:color w:val="FF0000"/>
          <w:sz w:val="22"/>
          <w:szCs w:val="22"/>
        </w:rPr>
        <w:t>, the standard acknowledgement</w:t>
      </w:r>
      <w:r w:rsidRPr="00AA2D32">
        <w:rPr>
          <w:iCs/>
          <w:color w:val="FF0000"/>
          <w:sz w:val="22"/>
          <w:szCs w:val="22"/>
        </w:rPr>
        <w:t xml:space="preserve"> should be provided in the funding section / alternative sections were space allows.</w:t>
      </w:r>
    </w:p>
    <w:p w:rsidR="00AA2D32" w:rsidRDefault="00AA2D32" w:rsidP="00A31C8F">
      <w:pPr>
        <w:autoSpaceDE w:val="0"/>
        <w:autoSpaceDN w:val="0"/>
        <w:adjustRightInd w:val="0"/>
        <w:jc w:val="both"/>
        <w:rPr>
          <w:sz w:val="22"/>
          <w:szCs w:val="22"/>
        </w:rPr>
      </w:pPr>
    </w:p>
    <w:p w:rsidR="009F6A37" w:rsidRPr="008A3740" w:rsidRDefault="009F6A37" w:rsidP="009F6A37">
      <w:pPr>
        <w:jc w:val="both"/>
        <w:rPr>
          <w:b/>
          <w:sz w:val="22"/>
          <w:szCs w:val="22"/>
        </w:rPr>
      </w:pPr>
      <w:r w:rsidRPr="008A3740">
        <w:rPr>
          <w:b/>
          <w:sz w:val="22"/>
          <w:szCs w:val="22"/>
        </w:rPr>
        <w:t xml:space="preserve">The Honest Broker Service logo should also be included in any acknowledgements within presentations, posters etc. </w:t>
      </w:r>
      <w:r w:rsidR="009F11DF" w:rsidRPr="008A3740">
        <w:rPr>
          <w:b/>
          <w:sz w:val="22"/>
          <w:szCs w:val="22"/>
        </w:rPr>
        <w:t xml:space="preserve"> The logo is included at the top of this document.</w:t>
      </w:r>
    </w:p>
    <w:p w:rsidR="009F6A37" w:rsidRDefault="009F6A37" w:rsidP="00ED1622">
      <w:pPr>
        <w:jc w:val="both"/>
        <w:rPr>
          <w:sz w:val="22"/>
          <w:szCs w:val="22"/>
        </w:rPr>
      </w:pPr>
    </w:p>
    <w:p w:rsidR="00ED1622" w:rsidRDefault="00ED1622" w:rsidP="00ED1622">
      <w:pPr>
        <w:jc w:val="both"/>
        <w:rPr>
          <w:sz w:val="22"/>
          <w:szCs w:val="22"/>
        </w:rPr>
      </w:pPr>
      <w:r w:rsidRPr="00A31C8F">
        <w:rPr>
          <w:sz w:val="22"/>
          <w:szCs w:val="22"/>
        </w:rPr>
        <w:t>If the project uses COVID-19 Genomics UK (COG-UK) data then this must be referenced in line with their specific require</w:t>
      </w:r>
      <w:r w:rsidR="009F6A37">
        <w:rPr>
          <w:sz w:val="22"/>
          <w:szCs w:val="22"/>
        </w:rPr>
        <w:t>ment</w:t>
      </w:r>
      <w:r w:rsidRPr="00A31C8F">
        <w:rPr>
          <w:sz w:val="22"/>
          <w:szCs w:val="22"/>
        </w:rPr>
        <w:t>s i.e. ‘The COG-UK Consortium’ must be listed as an author if a publication is primarily about viral genomics otherwise they should be noted as the source of the genomics data in the acknowledgements.</w:t>
      </w:r>
    </w:p>
    <w:p w:rsidR="00ED1622" w:rsidRDefault="00ED1622" w:rsidP="00A31C8F">
      <w:pPr>
        <w:autoSpaceDE w:val="0"/>
        <w:autoSpaceDN w:val="0"/>
        <w:adjustRightInd w:val="0"/>
        <w:jc w:val="both"/>
      </w:pPr>
    </w:p>
    <w:p w:rsidR="00D24519" w:rsidRPr="00D24519" w:rsidRDefault="00D24519" w:rsidP="00D24519">
      <w:pPr>
        <w:autoSpaceDE w:val="0"/>
        <w:autoSpaceDN w:val="0"/>
        <w:adjustRightInd w:val="0"/>
        <w:jc w:val="both"/>
        <w:rPr>
          <w:sz w:val="22"/>
          <w:szCs w:val="22"/>
        </w:rPr>
      </w:pPr>
      <w:r w:rsidRPr="00D24519">
        <w:rPr>
          <w:sz w:val="22"/>
          <w:szCs w:val="22"/>
        </w:rPr>
        <w:t>If the project accesses the infrastructure and data made available by the Data and Connectivity National Core Study then one of the following statements should be included to acknowledge funding in any papers or research outputs.</w:t>
      </w:r>
    </w:p>
    <w:p w:rsidR="00D24519" w:rsidRPr="00D24519" w:rsidRDefault="00D24519" w:rsidP="00D24519">
      <w:pPr>
        <w:autoSpaceDE w:val="0"/>
        <w:autoSpaceDN w:val="0"/>
        <w:adjustRightInd w:val="0"/>
        <w:jc w:val="both"/>
        <w:rPr>
          <w:sz w:val="22"/>
          <w:szCs w:val="22"/>
        </w:rPr>
      </w:pPr>
    </w:p>
    <w:p w:rsidR="00D24519" w:rsidRPr="00D24519" w:rsidRDefault="00D24519" w:rsidP="00D24519">
      <w:pPr>
        <w:autoSpaceDE w:val="0"/>
        <w:autoSpaceDN w:val="0"/>
        <w:adjustRightInd w:val="0"/>
        <w:jc w:val="both"/>
        <w:rPr>
          <w:sz w:val="22"/>
          <w:szCs w:val="22"/>
        </w:rPr>
      </w:pPr>
      <w:r w:rsidRPr="00D24519">
        <w:rPr>
          <w:sz w:val="22"/>
          <w:szCs w:val="22"/>
        </w:rPr>
        <w:t>For research which commenced between 1st October 2020 – 31st March 2021:</w:t>
      </w:r>
    </w:p>
    <w:p w:rsidR="00D24519" w:rsidRPr="00D24519" w:rsidRDefault="00D24519" w:rsidP="00D24519">
      <w:pPr>
        <w:autoSpaceDE w:val="0"/>
        <w:autoSpaceDN w:val="0"/>
        <w:adjustRightInd w:val="0"/>
        <w:jc w:val="both"/>
        <w:rPr>
          <w:sz w:val="22"/>
          <w:szCs w:val="22"/>
        </w:rPr>
      </w:pPr>
      <w:r w:rsidRPr="00D24519">
        <w:rPr>
          <w:sz w:val="22"/>
          <w:szCs w:val="22"/>
        </w:rPr>
        <w:t>This research used data assets made available as part of the Data and Connectivity National Core Study, led by Health Data Research UK in partnership with the Office for National Statistics and funded by UK Research and Innovation (grant ref MC_PC_20029).</w:t>
      </w:r>
    </w:p>
    <w:p w:rsidR="00D24519" w:rsidRPr="00D24519" w:rsidRDefault="00D24519" w:rsidP="00D24519">
      <w:pPr>
        <w:autoSpaceDE w:val="0"/>
        <w:autoSpaceDN w:val="0"/>
        <w:adjustRightInd w:val="0"/>
        <w:jc w:val="both"/>
        <w:rPr>
          <w:sz w:val="22"/>
          <w:szCs w:val="22"/>
        </w:rPr>
      </w:pPr>
    </w:p>
    <w:p w:rsidR="00D24519" w:rsidRPr="00D24519" w:rsidRDefault="00D24519" w:rsidP="00D24519">
      <w:pPr>
        <w:autoSpaceDE w:val="0"/>
        <w:autoSpaceDN w:val="0"/>
        <w:adjustRightInd w:val="0"/>
        <w:jc w:val="both"/>
        <w:rPr>
          <w:sz w:val="22"/>
          <w:szCs w:val="22"/>
        </w:rPr>
      </w:pPr>
      <w:r w:rsidRPr="00D24519">
        <w:rPr>
          <w:sz w:val="22"/>
          <w:szCs w:val="22"/>
        </w:rPr>
        <w:t>For research which commenced between 1st April 2021 -30th September 2022:</w:t>
      </w:r>
    </w:p>
    <w:p w:rsidR="00D24519" w:rsidRPr="00D24519" w:rsidRDefault="00D24519" w:rsidP="00D24519">
      <w:pPr>
        <w:autoSpaceDE w:val="0"/>
        <w:autoSpaceDN w:val="0"/>
        <w:adjustRightInd w:val="0"/>
        <w:jc w:val="both"/>
        <w:rPr>
          <w:sz w:val="22"/>
          <w:szCs w:val="22"/>
        </w:rPr>
      </w:pPr>
      <w:r w:rsidRPr="00D24519">
        <w:rPr>
          <w:sz w:val="22"/>
          <w:szCs w:val="22"/>
        </w:rPr>
        <w:t>This research used data assets made available as part of the Data and Connectivity National Core Study, led by Health Data Research UK in partnership with the Office for National Statistics and funded by UK Research and Innovation (grant ref MC_PC_20058).</w:t>
      </w:r>
    </w:p>
    <w:p w:rsidR="007F1463" w:rsidRPr="00A31C8F" w:rsidRDefault="007F1463" w:rsidP="00A31C8F">
      <w:pPr>
        <w:autoSpaceDE w:val="0"/>
        <w:autoSpaceDN w:val="0"/>
        <w:adjustRightInd w:val="0"/>
        <w:jc w:val="both"/>
      </w:pPr>
    </w:p>
    <w:p w:rsidR="00A31C8F" w:rsidRPr="00A31C8F" w:rsidRDefault="00EE575F" w:rsidP="00A31C8F">
      <w:pPr>
        <w:autoSpaceDE w:val="0"/>
        <w:autoSpaceDN w:val="0"/>
        <w:adjustRightInd w:val="0"/>
        <w:jc w:val="both"/>
        <w:rPr>
          <w:b/>
          <w:sz w:val="22"/>
          <w:szCs w:val="22"/>
        </w:rPr>
      </w:pPr>
      <w:r w:rsidRPr="00A31C8F">
        <w:rPr>
          <w:b/>
          <w:sz w:val="22"/>
          <w:szCs w:val="22"/>
        </w:rPr>
        <w:t>Honest Broker Service contact d</w:t>
      </w:r>
      <w:r w:rsidR="007F1463" w:rsidRPr="00A31C8F">
        <w:rPr>
          <w:b/>
          <w:sz w:val="22"/>
          <w:szCs w:val="22"/>
        </w:rPr>
        <w:t>etails</w:t>
      </w:r>
    </w:p>
    <w:p w:rsidR="007F1463" w:rsidRPr="00A31C8F" w:rsidRDefault="007F1463" w:rsidP="00A31C8F">
      <w:pPr>
        <w:autoSpaceDE w:val="0"/>
        <w:autoSpaceDN w:val="0"/>
        <w:adjustRightInd w:val="0"/>
        <w:jc w:val="both"/>
        <w:rPr>
          <w:sz w:val="22"/>
          <w:szCs w:val="22"/>
        </w:rPr>
      </w:pPr>
      <w:r w:rsidRPr="00A31C8F">
        <w:rPr>
          <w:sz w:val="22"/>
          <w:szCs w:val="22"/>
        </w:rPr>
        <w:t>Email:</w:t>
      </w:r>
      <w:hyperlink r:id="rId9" w:history="1"/>
      <w:r w:rsidRPr="00A31C8F">
        <w:rPr>
          <w:sz w:val="22"/>
          <w:szCs w:val="22"/>
        </w:rPr>
        <w:t xml:space="preserve"> </w:t>
      </w:r>
      <w:hyperlink r:id="rId10" w:history="1">
        <w:r w:rsidR="00DD6AB1" w:rsidRPr="00A31C8F">
          <w:rPr>
            <w:rStyle w:val="Hyperlink"/>
            <w:rFonts w:cs="Arial"/>
            <w:sz w:val="22"/>
            <w:szCs w:val="22"/>
          </w:rPr>
          <w:t>honestbrokerservice@hscni.net</w:t>
        </w:r>
      </w:hyperlink>
      <w:r w:rsidRPr="00A31C8F">
        <w:rPr>
          <w:sz w:val="22"/>
          <w:szCs w:val="22"/>
        </w:rPr>
        <w:t xml:space="preserve"> </w:t>
      </w:r>
    </w:p>
    <w:p w:rsidR="008225A5" w:rsidRPr="00A31C8F" w:rsidRDefault="008225A5" w:rsidP="00A31C8F">
      <w:pPr>
        <w:jc w:val="both"/>
        <w:rPr>
          <w:b/>
          <w:i/>
          <w:color w:val="333399"/>
          <w:sz w:val="44"/>
          <w:szCs w:val="44"/>
        </w:rPr>
      </w:pPr>
      <w:r w:rsidRPr="00A31C8F">
        <w:rPr>
          <w:b/>
          <w:i/>
          <w:color w:val="333399"/>
          <w:sz w:val="44"/>
          <w:szCs w:val="44"/>
        </w:rPr>
        <w:br w:type="page"/>
      </w:r>
    </w:p>
    <w:tbl>
      <w:tblPr>
        <w:tblW w:w="10632"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512"/>
        <w:gridCol w:w="1815"/>
        <w:gridCol w:w="791"/>
        <w:gridCol w:w="1736"/>
        <w:gridCol w:w="391"/>
        <w:gridCol w:w="3294"/>
      </w:tblGrid>
      <w:tr w:rsidR="00827FB1" w:rsidRPr="00A31C8F" w:rsidTr="009B5D63">
        <w:tc>
          <w:tcPr>
            <w:tcW w:w="4420" w:type="dxa"/>
            <w:gridSpan w:val="3"/>
          </w:tcPr>
          <w:p w:rsidR="00827FB1" w:rsidRPr="00A31C8F" w:rsidRDefault="00827FB1" w:rsidP="00A31C8F">
            <w:pPr>
              <w:jc w:val="both"/>
              <w:rPr>
                <w:lang w:eastAsia="en-US"/>
              </w:rPr>
            </w:pPr>
            <w:r w:rsidRPr="00A31C8F">
              <w:rPr>
                <w:noProof/>
              </w:rPr>
              <w:lastRenderedPageBreak/>
              <w:drawing>
                <wp:inline distT="0" distB="0" distL="0" distR="0" wp14:anchorId="293FBC74" wp14:editId="0D2D7A0C">
                  <wp:extent cx="2609850" cy="809625"/>
                  <wp:effectExtent l="0" t="0" r="0" b="9525"/>
                  <wp:docPr id="2" name="Picture 2" descr="T:\Official Docum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fficial Documents\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809625"/>
                          </a:xfrm>
                          <a:prstGeom prst="rect">
                            <a:avLst/>
                          </a:prstGeom>
                          <a:noFill/>
                          <a:ln>
                            <a:noFill/>
                          </a:ln>
                        </pic:spPr>
                      </pic:pic>
                    </a:graphicData>
                  </a:graphic>
                </wp:inline>
              </w:drawing>
            </w:r>
          </w:p>
        </w:tc>
        <w:tc>
          <w:tcPr>
            <w:tcW w:w="6212" w:type="dxa"/>
            <w:gridSpan w:val="4"/>
            <w:vAlign w:val="bottom"/>
          </w:tcPr>
          <w:p w:rsidR="00827FB1" w:rsidRPr="009B5D63" w:rsidRDefault="00827FB1" w:rsidP="009B5D63">
            <w:pPr>
              <w:rPr>
                <w:b/>
                <w:sz w:val="44"/>
                <w:szCs w:val="44"/>
              </w:rPr>
            </w:pPr>
            <w:r w:rsidRPr="00827FB1">
              <w:rPr>
                <w:b/>
                <w:sz w:val="44"/>
                <w:szCs w:val="44"/>
              </w:rPr>
              <w:t>Final Output Clearance Form</w:t>
            </w:r>
            <w:r w:rsidRPr="00827FB1">
              <w:rPr>
                <w:sz w:val="32"/>
                <w:szCs w:val="32"/>
              </w:rPr>
              <w:t xml:space="preserve"> </w:t>
            </w:r>
          </w:p>
        </w:tc>
      </w:tr>
      <w:tr w:rsidR="008225A5" w:rsidRPr="00A31C8F" w:rsidTr="00827FB1">
        <w:tc>
          <w:tcPr>
            <w:tcW w:w="10632" w:type="dxa"/>
            <w:gridSpan w:val="7"/>
          </w:tcPr>
          <w:p w:rsidR="005B2F2B" w:rsidRPr="00A31C8F" w:rsidRDefault="005B2F2B" w:rsidP="00A31C8F">
            <w:pPr>
              <w:jc w:val="both"/>
            </w:pPr>
          </w:p>
          <w:p w:rsidR="008225A5" w:rsidRPr="00A31C8F" w:rsidRDefault="008225A5" w:rsidP="00A31C8F">
            <w:pPr>
              <w:jc w:val="both"/>
            </w:pPr>
            <w:r w:rsidRPr="00A31C8F">
              <w:t xml:space="preserve">Project ID: </w:t>
            </w:r>
          </w:p>
          <w:p w:rsidR="005B2F2B" w:rsidRPr="00A31C8F" w:rsidRDefault="005B2F2B" w:rsidP="00A31C8F">
            <w:pPr>
              <w:jc w:val="both"/>
            </w:pPr>
          </w:p>
        </w:tc>
      </w:tr>
      <w:tr w:rsidR="00235C8B" w:rsidRPr="00A31C8F" w:rsidTr="00827FB1">
        <w:trPr>
          <w:trHeight w:val="2827"/>
        </w:trPr>
        <w:tc>
          <w:tcPr>
            <w:tcW w:w="6947" w:type="dxa"/>
            <w:gridSpan w:val="5"/>
          </w:tcPr>
          <w:p w:rsidR="00235C8B" w:rsidRPr="00A31C8F" w:rsidRDefault="00235C8B" w:rsidP="00A31C8F">
            <w:pPr>
              <w:jc w:val="both"/>
            </w:pPr>
            <w:r w:rsidRPr="00A31C8F">
              <w:t xml:space="preserve">Type of output:    </w:t>
            </w:r>
          </w:p>
          <w:p w:rsidR="00235C8B" w:rsidRPr="00A31C8F" w:rsidRDefault="00717A96" w:rsidP="00A31C8F">
            <w:pPr>
              <w:tabs>
                <w:tab w:val="left" w:pos="2127"/>
              </w:tabs>
              <w:jc w:val="both"/>
            </w:pPr>
            <w:sdt>
              <w:sdtPr>
                <w:id w:val="1451516240"/>
                <w14:checkbox>
                  <w14:checked w14:val="0"/>
                  <w14:checkedState w14:val="2612" w14:font="MS Gothic"/>
                  <w14:uncheckedState w14:val="2610" w14:font="MS Gothic"/>
                </w14:checkbox>
              </w:sdtPr>
              <w:sdtEndPr/>
              <w:sdtContent>
                <w:r w:rsidR="00A31C8F">
                  <w:rPr>
                    <w:rFonts w:ascii="MS Gothic" w:eastAsia="MS Gothic" w:hAnsi="MS Gothic" w:hint="eastAsia"/>
                  </w:rPr>
                  <w:t>☐</w:t>
                </w:r>
              </w:sdtContent>
            </w:sdt>
            <w:r w:rsidR="00235C8B" w:rsidRPr="00A31C8F">
              <w:t xml:space="preserve"> Article     </w:t>
            </w:r>
          </w:p>
          <w:p w:rsidR="00235C8B" w:rsidRPr="00A31C8F" w:rsidRDefault="00717A96" w:rsidP="00A31C8F">
            <w:pPr>
              <w:tabs>
                <w:tab w:val="left" w:pos="2127"/>
              </w:tabs>
              <w:jc w:val="both"/>
            </w:pPr>
            <w:sdt>
              <w:sdtPr>
                <w:id w:val="-1861354914"/>
                <w14:checkbox>
                  <w14:checked w14:val="0"/>
                  <w14:checkedState w14:val="2612" w14:font="MS Gothic"/>
                  <w14:uncheckedState w14:val="2610" w14:font="MS Gothic"/>
                </w14:checkbox>
              </w:sdtPr>
              <w:sdtEndPr/>
              <w:sdtContent>
                <w:r w:rsidR="00EE575F" w:rsidRPr="00A31C8F">
                  <w:rPr>
                    <w:rFonts w:ascii="MS Gothic" w:eastAsia="MS Gothic" w:hAnsi="MS Gothic" w:cs="MS Gothic" w:hint="eastAsia"/>
                  </w:rPr>
                  <w:t>☐</w:t>
                </w:r>
              </w:sdtContent>
            </w:sdt>
            <w:r w:rsidR="00EE575F" w:rsidRPr="00A31C8F">
              <w:t xml:space="preserve"> </w:t>
            </w:r>
            <w:r w:rsidR="00235C8B" w:rsidRPr="00A31C8F">
              <w:t xml:space="preserve">Abstract               </w:t>
            </w:r>
          </w:p>
          <w:p w:rsidR="00235C8B" w:rsidRPr="00A31C8F" w:rsidRDefault="00717A96" w:rsidP="00A31C8F">
            <w:pPr>
              <w:tabs>
                <w:tab w:val="left" w:pos="2127"/>
              </w:tabs>
              <w:jc w:val="both"/>
            </w:pPr>
            <w:sdt>
              <w:sdtPr>
                <w:id w:val="1425846412"/>
                <w14:checkbox>
                  <w14:checked w14:val="0"/>
                  <w14:checkedState w14:val="2612" w14:font="MS Gothic"/>
                  <w14:uncheckedState w14:val="2610" w14:font="MS Gothic"/>
                </w14:checkbox>
              </w:sdtPr>
              <w:sdtEndPr/>
              <w:sdtContent>
                <w:r w:rsidR="00EE575F" w:rsidRPr="00A31C8F">
                  <w:rPr>
                    <w:rFonts w:ascii="MS Gothic" w:eastAsia="MS Gothic" w:hAnsi="MS Gothic" w:cs="MS Gothic" w:hint="eastAsia"/>
                  </w:rPr>
                  <w:t>☐</w:t>
                </w:r>
              </w:sdtContent>
            </w:sdt>
            <w:r w:rsidR="00EE575F" w:rsidRPr="00A31C8F">
              <w:t xml:space="preserve"> </w:t>
            </w:r>
            <w:r w:rsidR="00235C8B" w:rsidRPr="00A31C8F">
              <w:t xml:space="preserve">Blog                                  </w:t>
            </w:r>
          </w:p>
          <w:p w:rsidR="00235C8B" w:rsidRPr="00A31C8F" w:rsidRDefault="00717A96" w:rsidP="00A31C8F">
            <w:pPr>
              <w:tabs>
                <w:tab w:val="left" w:pos="2127"/>
              </w:tabs>
              <w:jc w:val="both"/>
            </w:pPr>
            <w:sdt>
              <w:sdtPr>
                <w:id w:val="1061370912"/>
                <w14:checkbox>
                  <w14:checked w14:val="0"/>
                  <w14:checkedState w14:val="2612" w14:font="MS Gothic"/>
                  <w14:uncheckedState w14:val="2610" w14:font="MS Gothic"/>
                </w14:checkbox>
              </w:sdtPr>
              <w:sdtEndPr/>
              <w:sdtContent>
                <w:r w:rsidR="00EE575F" w:rsidRPr="00A31C8F">
                  <w:rPr>
                    <w:rFonts w:ascii="MS Gothic" w:eastAsia="MS Gothic" w:hAnsi="MS Gothic" w:cs="MS Gothic" w:hint="eastAsia"/>
                  </w:rPr>
                  <w:t>☐</w:t>
                </w:r>
              </w:sdtContent>
            </w:sdt>
            <w:r w:rsidR="00EE575F" w:rsidRPr="00A31C8F">
              <w:t xml:space="preserve"> </w:t>
            </w:r>
            <w:r w:rsidR="00235C8B" w:rsidRPr="00A31C8F">
              <w:t xml:space="preserve">Research/Policy Brief  </w:t>
            </w:r>
          </w:p>
          <w:p w:rsidR="00235C8B" w:rsidRPr="00A31C8F" w:rsidRDefault="00717A96" w:rsidP="00A31C8F">
            <w:pPr>
              <w:tabs>
                <w:tab w:val="left" w:pos="2127"/>
              </w:tabs>
              <w:jc w:val="both"/>
            </w:pPr>
            <w:sdt>
              <w:sdtPr>
                <w:id w:val="-637807908"/>
                <w14:checkbox>
                  <w14:checked w14:val="0"/>
                  <w14:checkedState w14:val="2612" w14:font="MS Gothic"/>
                  <w14:uncheckedState w14:val="2610" w14:font="MS Gothic"/>
                </w14:checkbox>
              </w:sdtPr>
              <w:sdtEndPr/>
              <w:sdtContent>
                <w:r w:rsidR="00EE575F" w:rsidRPr="00A31C8F">
                  <w:rPr>
                    <w:rFonts w:ascii="MS Gothic" w:eastAsia="MS Gothic" w:hAnsi="MS Gothic" w:cs="MS Gothic" w:hint="eastAsia"/>
                  </w:rPr>
                  <w:t>☐</w:t>
                </w:r>
              </w:sdtContent>
            </w:sdt>
            <w:r w:rsidR="00EE575F" w:rsidRPr="00A31C8F">
              <w:t xml:space="preserve"> </w:t>
            </w:r>
            <w:r w:rsidR="00235C8B" w:rsidRPr="00A31C8F">
              <w:t xml:space="preserve">Presentation  </w:t>
            </w:r>
          </w:p>
          <w:p w:rsidR="00235C8B" w:rsidRPr="00A31C8F" w:rsidRDefault="00717A96" w:rsidP="00A31C8F">
            <w:pPr>
              <w:tabs>
                <w:tab w:val="left" w:pos="2127"/>
              </w:tabs>
              <w:jc w:val="both"/>
            </w:pPr>
            <w:sdt>
              <w:sdtPr>
                <w:id w:val="-1565097066"/>
                <w14:checkbox>
                  <w14:checked w14:val="0"/>
                  <w14:checkedState w14:val="2612" w14:font="MS Gothic"/>
                  <w14:uncheckedState w14:val="2610" w14:font="MS Gothic"/>
                </w14:checkbox>
              </w:sdtPr>
              <w:sdtEndPr/>
              <w:sdtContent>
                <w:r w:rsidR="00EE575F" w:rsidRPr="00A31C8F">
                  <w:rPr>
                    <w:rFonts w:ascii="MS Gothic" w:eastAsia="MS Gothic" w:hAnsi="MS Gothic" w:cs="MS Gothic" w:hint="eastAsia"/>
                  </w:rPr>
                  <w:t>☐</w:t>
                </w:r>
              </w:sdtContent>
            </w:sdt>
            <w:r w:rsidR="00EE575F" w:rsidRPr="00A31C8F">
              <w:t xml:space="preserve"> </w:t>
            </w:r>
            <w:r w:rsidR="00235C8B" w:rsidRPr="00A31C8F">
              <w:t xml:space="preserve">Thesis  </w:t>
            </w:r>
          </w:p>
          <w:p w:rsidR="00235C8B" w:rsidRPr="00A31C8F" w:rsidRDefault="00717A96" w:rsidP="00A31C8F">
            <w:pPr>
              <w:tabs>
                <w:tab w:val="left" w:pos="2127"/>
              </w:tabs>
              <w:jc w:val="both"/>
            </w:pPr>
            <w:sdt>
              <w:sdtPr>
                <w:id w:val="1849743248"/>
                <w14:checkbox>
                  <w14:checked w14:val="0"/>
                  <w14:checkedState w14:val="2612" w14:font="MS Gothic"/>
                  <w14:uncheckedState w14:val="2610" w14:font="MS Gothic"/>
                </w14:checkbox>
              </w:sdtPr>
              <w:sdtEndPr/>
              <w:sdtContent>
                <w:r w:rsidR="00EE575F" w:rsidRPr="00A31C8F">
                  <w:rPr>
                    <w:rFonts w:ascii="MS Gothic" w:eastAsia="MS Gothic" w:hAnsi="MS Gothic" w:cs="MS Gothic" w:hint="eastAsia"/>
                  </w:rPr>
                  <w:t>☐</w:t>
                </w:r>
              </w:sdtContent>
            </w:sdt>
            <w:r w:rsidR="00EE575F" w:rsidRPr="00A31C8F">
              <w:t xml:space="preserve"> </w:t>
            </w:r>
            <w:r w:rsidR="00235C8B" w:rsidRPr="00A31C8F">
              <w:t>Poster</w:t>
            </w:r>
          </w:p>
          <w:p w:rsidR="00235C8B" w:rsidRPr="00A31C8F" w:rsidRDefault="00717A96" w:rsidP="00A31C8F">
            <w:pPr>
              <w:tabs>
                <w:tab w:val="left" w:pos="2127"/>
              </w:tabs>
              <w:jc w:val="both"/>
            </w:pPr>
            <w:sdt>
              <w:sdtPr>
                <w:id w:val="111792533"/>
                <w14:checkbox>
                  <w14:checked w14:val="0"/>
                  <w14:checkedState w14:val="2612" w14:font="MS Gothic"/>
                  <w14:uncheckedState w14:val="2610" w14:font="MS Gothic"/>
                </w14:checkbox>
              </w:sdtPr>
              <w:sdtEndPr/>
              <w:sdtContent>
                <w:r w:rsidR="00EE575F" w:rsidRPr="00A31C8F">
                  <w:rPr>
                    <w:rFonts w:ascii="MS Gothic" w:eastAsia="MS Gothic" w:hAnsi="MS Gothic" w:cs="MS Gothic" w:hint="eastAsia"/>
                  </w:rPr>
                  <w:t>☐</w:t>
                </w:r>
              </w:sdtContent>
            </w:sdt>
            <w:r w:rsidR="00EE575F" w:rsidRPr="00A31C8F">
              <w:t xml:space="preserve"> </w:t>
            </w:r>
            <w:r w:rsidR="00235C8B" w:rsidRPr="00A31C8F">
              <w:t>Other (please specify): ____________________</w:t>
            </w:r>
          </w:p>
        </w:tc>
        <w:tc>
          <w:tcPr>
            <w:tcW w:w="3685" w:type="dxa"/>
            <w:gridSpan w:val="2"/>
          </w:tcPr>
          <w:p w:rsidR="00235C8B" w:rsidRPr="00A31C8F" w:rsidRDefault="00235C8B" w:rsidP="00A31C8F">
            <w:pPr>
              <w:jc w:val="both"/>
            </w:pPr>
            <w:r w:rsidRPr="00A31C8F">
              <w:t>Requested date for clearance:</w:t>
            </w:r>
          </w:p>
          <w:p w:rsidR="00235C8B" w:rsidRPr="00A31C8F" w:rsidRDefault="00235C8B" w:rsidP="00A31C8F">
            <w:pPr>
              <w:jc w:val="both"/>
            </w:pPr>
          </w:p>
          <w:p w:rsidR="005B2F2B" w:rsidRPr="00A31C8F" w:rsidRDefault="005B2F2B" w:rsidP="00A31C8F">
            <w:pPr>
              <w:jc w:val="both"/>
            </w:pPr>
          </w:p>
          <w:p w:rsidR="005B2F2B" w:rsidRPr="00A31C8F" w:rsidRDefault="00794965" w:rsidP="00A31C8F">
            <w:pPr>
              <w:jc w:val="both"/>
            </w:pPr>
            <w:r w:rsidRPr="00A31C8F">
              <w:t xml:space="preserve">   </w:t>
            </w:r>
            <w:r w:rsidR="005B2F2B" w:rsidRPr="00A31C8F">
              <w:t>__/__/20__</w:t>
            </w:r>
          </w:p>
        </w:tc>
      </w:tr>
      <w:tr w:rsidR="00235C8B" w:rsidRPr="00A31C8F" w:rsidTr="00827FB1">
        <w:tc>
          <w:tcPr>
            <w:tcW w:w="2093" w:type="dxa"/>
          </w:tcPr>
          <w:p w:rsidR="00235C8B" w:rsidRPr="00A31C8F" w:rsidRDefault="00235C8B" w:rsidP="00A31C8F">
            <w:pPr>
              <w:jc w:val="both"/>
            </w:pPr>
            <w:r w:rsidRPr="00A31C8F">
              <w:t>Author(s):</w:t>
            </w:r>
          </w:p>
          <w:p w:rsidR="00235C8B" w:rsidRPr="00A31C8F" w:rsidRDefault="00235C8B" w:rsidP="00A31C8F">
            <w:pPr>
              <w:jc w:val="both"/>
            </w:pPr>
          </w:p>
        </w:tc>
        <w:tc>
          <w:tcPr>
            <w:tcW w:w="8539" w:type="dxa"/>
            <w:gridSpan w:val="6"/>
          </w:tcPr>
          <w:p w:rsidR="00235C8B" w:rsidRPr="00A31C8F" w:rsidRDefault="00235C8B" w:rsidP="00A31C8F">
            <w:pPr>
              <w:jc w:val="both"/>
            </w:pPr>
          </w:p>
          <w:p w:rsidR="00235C8B" w:rsidRPr="00A31C8F" w:rsidRDefault="00235C8B" w:rsidP="00A31C8F">
            <w:pPr>
              <w:jc w:val="both"/>
            </w:pPr>
          </w:p>
        </w:tc>
      </w:tr>
      <w:tr w:rsidR="00235C8B" w:rsidRPr="00A31C8F" w:rsidTr="00827FB1">
        <w:tc>
          <w:tcPr>
            <w:tcW w:w="10632" w:type="dxa"/>
            <w:gridSpan w:val="7"/>
          </w:tcPr>
          <w:p w:rsidR="00235C8B" w:rsidRPr="00A31C8F" w:rsidRDefault="00235C8B" w:rsidP="00A31C8F">
            <w:pPr>
              <w:jc w:val="both"/>
            </w:pPr>
            <w:r w:rsidRPr="00A31C8F">
              <w:t xml:space="preserve">Contact telephone number: </w:t>
            </w:r>
          </w:p>
          <w:p w:rsidR="00235C8B" w:rsidRPr="00A31C8F" w:rsidRDefault="00235C8B" w:rsidP="00A31C8F">
            <w:pPr>
              <w:jc w:val="both"/>
            </w:pPr>
          </w:p>
          <w:p w:rsidR="00235C8B" w:rsidRPr="00A31C8F" w:rsidRDefault="00235C8B" w:rsidP="00A31C8F">
            <w:pPr>
              <w:jc w:val="both"/>
            </w:pPr>
            <w:r w:rsidRPr="00A31C8F">
              <w:t xml:space="preserve">Contact email address: </w:t>
            </w:r>
          </w:p>
          <w:p w:rsidR="00235C8B" w:rsidRPr="00A31C8F" w:rsidRDefault="00235C8B" w:rsidP="00A31C8F">
            <w:pPr>
              <w:jc w:val="both"/>
            </w:pPr>
          </w:p>
        </w:tc>
      </w:tr>
      <w:tr w:rsidR="00235C8B" w:rsidRPr="00A31C8F" w:rsidTr="00827FB1">
        <w:tc>
          <w:tcPr>
            <w:tcW w:w="10632" w:type="dxa"/>
            <w:gridSpan w:val="7"/>
          </w:tcPr>
          <w:p w:rsidR="00235C8B" w:rsidRPr="00A31C8F" w:rsidRDefault="00235C8B" w:rsidP="00A31C8F">
            <w:pPr>
              <w:jc w:val="both"/>
            </w:pPr>
            <w:r w:rsidRPr="00A31C8F">
              <w:t xml:space="preserve">Title of output: </w:t>
            </w:r>
          </w:p>
          <w:p w:rsidR="00235C8B" w:rsidRPr="00A31C8F" w:rsidRDefault="00235C8B" w:rsidP="00A31C8F">
            <w:pPr>
              <w:jc w:val="both"/>
            </w:pPr>
          </w:p>
          <w:p w:rsidR="00235C8B" w:rsidRPr="00A31C8F" w:rsidRDefault="00235C8B" w:rsidP="00A31C8F">
            <w:pPr>
              <w:jc w:val="both"/>
            </w:pPr>
          </w:p>
        </w:tc>
      </w:tr>
      <w:tr w:rsidR="00235C8B" w:rsidRPr="00A31C8F" w:rsidTr="00827FB1">
        <w:tc>
          <w:tcPr>
            <w:tcW w:w="10632" w:type="dxa"/>
            <w:gridSpan w:val="7"/>
          </w:tcPr>
          <w:p w:rsidR="00235C8B" w:rsidRPr="00A31C8F" w:rsidRDefault="00235C8B" w:rsidP="00A31C8F">
            <w:pPr>
              <w:jc w:val="both"/>
            </w:pPr>
            <w:r w:rsidRPr="00A31C8F">
              <w:t>Please demonstrate the health and social care relevance of the final output:</w:t>
            </w:r>
          </w:p>
          <w:p w:rsidR="00235C8B" w:rsidRPr="00A31C8F" w:rsidRDefault="00235C8B" w:rsidP="00A31C8F">
            <w:pPr>
              <w:jc w:val="both"/>
            </w:pPr>
          </w:p>
          <w:p w:rsidR="00235C8B" w:rsidRPr="00A31C8F" w:rsidRDefault="00235C8B" w:rsidP="00A31C8F">
            <w:pPr>
              <w:jc w:val="both"/>
            </w:pPr>
          </w:p>
        </w:tc>
      </w:tr>
      <w:tr w:rsidR="00235C8B" w:rsidRPr="00A31C8F" w:rsidTr="00827FB1">
        <w:tc>
          <w:tcPr>
            <w:tcW w:w="10632" w:type="dxa"/>
            <w:gridSpan w:val="7"/>
          </w:tcPr>
          <w:p w:rsidR="00235C8B" w:rsidRPr="00A31C8F" w:rsidRDefault="00235C8B" w:rsidP="00A31C8F">
            <w:pPr>
              <w:jc w:val="both"/>
            </w:pPr>
            <w:r w:rsidRPr="00A31C8F">
              <w:t>Further details of dissemination: e.g.</w:t>
            </w:r>
            <w:r w:rsidR="00794965" w:rsidRPr="00A31C8F">
              <w:t xml:space="preserve"> name of</w:t>
            </w:r>
            <w:r w:rsidRPr="00A31C8F">
              <w:t xml:space="preserve"> journal and publication date, conference dates, etc</w:t>
            </w:r>
            <w:r w:rsidR="00EE575F" w:rsidRPr="00A31C8F">
              <w:t>.</w:t>
            </w:r>
            <w:r w:rsidRPr="00A31C8F">
              <w:t xml:space="preserve">: </w:t>
            </w:r>
          </w:p>
          <w:p w:rsidR="00235C8B" w:rsidRPr="00A31C8F" w:rsidRDefault="00235C8B" w:rsidP="00A31C8F">
            <w:pPr>
              <w:jc w:val="both"/>
            </w:pPr>
          </w:p>
          <w:p w:rsidR="00235C8B" w:rsidRPr="00A31C8F" w:rsidRDefault="00235C8B" w:rsidP="00A31C8F">
            <w:pPr>
              <w:jc w:val="both"/>
            </w:pPr>
          </w:p>
        </w:tc>
      </w:tr>
      <w:tr w:rsidR="00235C8B" w:rsidRPr="00A31C8F" w:rsidTr="00827FB1">
        <w:tc>
          <w:tcPr>
            <w:tcW w:w="10632" w:type="dxa"/>
            <w:gridSpan w:val="7"/>
          </w:tcPr>
          <w:p w:rsidR="00235C8B" w:rsidRPr="00A31C8F" w:rsidRDefault="00235C8B" w:rsidP="00A31C8F">
            <w:pPr>
              <w:jc w:val="both"/>
            </w:pPr>
            <w:r w:rsidRPr="00A31C8F">
              <w:t xml:space="preserve">Background: previous outputs from this project or important implications: </w:t>
            </w:r>
          </w:p>
          <w:p w:rsidR="00235C8B" w:rsidRPr="00A31C8F" w:rsidRDefault="00235C8B" w:rsidP="00A31C8F">
            <w:pPr>
              <w:jc w:val="both"/>
            </w:pPr>
          </w:p>
          <w:p w:rsidR="00235C8B" w:rsidRPr="00A31C8F" w:rsidRDefault="00235C8B" w:rsidP="00A31C8F">
            <w:pPr>
              <w:jc w:val="both"/>
            </w:pPr>
          </w:p>
        </w:tc>
      </w:tr>
      <w:tr w:rsidR="00235C8B" w:rsidRPr="00A31C8F" w:rsidTr="00827FB1">
        <w:tc>
          <w:tcPr>
            <w:tcW w:w="10632" w:type="dxa"/>
            <w:gridSpan w:val="7"/>
          </w:tcPr>
          <w:p w:rsidR="00235C8B" w:rsidRPr="00A31C8F" w:rsidRDefault="00235C8B" w:rsidP="00A31C8F">
            <w:pPr>
              <w:jc w:val="both"/>
            </w:pPr>
            <w:r w:rsidRPr="00A31C8F">
              <w:t>Other notes:</w:t>
            </w:r>
          </w:p>
          <w:p w:rsidR="00235C8B" w:rsidRPr="00A31C8F" w:rsidRDefault="00235C8B" w:rsidP="00A31C8F">
            <w:pPr>
              <w:jc w:val="both"/>
            </w:pPr>
          </w:p>
          <w:p w:rsidR="00235C8B" w:rsidRPr="00A31C8F" w:rsidRDefault="00235C8B" w:rsidP="00A31C8F">
            <w:pPr>
              <w:jc w:val="both"/>
            </w:pPr>
          </w:p>
        </w:tc>
      </w:tr>
      <w:tr w:rsidR="00235C8B" w:rsidRPr="00A31C8F" w:rsidTr="00827FB1">
        <w:trPr>
          <w:cantSplit/>
        </w:trPr>
        <w:tc>
          <w:tcPr>
            <w:tcW w:w="10632" w:type="dxa"/>
            <w:gridSpan w:val="7"/>
          </w:tcPr>
          <w:p w:rsidR="00235C8B" w:rsidRPr="00A31C8F" w:rsidRDefault="00EE575F" w:rsidP="00A31C8F">
            <w:pPr>
              <w:keepNext/>
              <w:jc w:val="both"/>
            </w:pPr>
            <w:r w:rsidRPr="00A31C8F">
              <w:lastRenderedPageBreak/>
              <w:t>If your final o</w:t>
            </w:r>
            <w:r w:rsidR="00235C8B" w:rsidRPr="00A31C8F">
              <w:t>utput is a presentation, thesis, article, paper, poster, research brief or policy brief please tick at least one option below:</w:t>
            </w:r>
          </w:p>
          <w:p w:rsidR="00235C8B" w:rsidRPr="00A31C8F" w:rsidRDefault="00235C8B" w:rsidP="00A31C8F">
            <w:pPr>
              <w:keepNext/>
              <w:jc w:val="both"/>
            </w:pPr>
          </w:p>
          <w:p w:rsidR="00EE575F" w:rsidRPr="00A31C8F" w:rsidRDefault="00235C8B" w:rsidP="00A31C8F">
            <w:pPr>
              <w:keepNext/>
              <w:ind w:left="426" w:hanging="426"/>
              <w:jc w:val="both"/>
            </w:pPr>
            <w:r w:rsidRPr="00A31C8F">
              <w:t xml:space="preserve"> </w:t>
            </w:r>
            <w:sdt>
              <w:sdtPr>
                <w:id w:val="1141616003"/>
                <w14:checkbox>
                  <w14:checked w14:val="0"/>
                  <w14:checkedState w14:val="2612" w14:font="MS Gothic"/>
                  <w14:uncheckedState w14:val="2610" w14:font="MS Gothic"/>
                </w14:checkbox>
              </w:sdtPr>
              <w:sdtEndPr/>
              <w:sdtContent>
                <w:r w:rsidR="00827FB1">
                  <w:rPr>
                    <w:rFonts w:ascii="MS Gothic" w:eastAsia="MS Gothic" w:hAnsi="MS Gothic" w:hint="eastAsia"/>
                  </w:rPr>
                  <w:t>☐</w:t>
                </w:r>
              </w:sdtContent>
            </w:sdt>
            <w:r w:rsidRPr="00A31C8F">
              <w:t xml:space="preserve"> I give approval for the final output to be made available through the HBS</w:t>
            </w:r>
            <w:r w:rsidR="00EE575F" w:rsidRPr="00A31C8F">
              <w:t xml:space="preserve"> </w:t>
            </w:r>
            <w:r w:rsidRPr="00A31C8F">
              <w:t xml:space="preserve">website </w:t>
            </w:r>
          </w:p>
          <w:p w:rsidR="00235C8B" w:rsidRPr="00A31C8F" w:rsidRDefault="00EE575F" w:rsidP="00A31C8F">
            <w:pPr>
              <w:keepNext/>
              <w:ind w:left="426" w:hanging="142"/>
              <w:jc w:val="both"/>
            </w:pPr>
            <w:r w:rsidRPr="00A31C8F">
              <w:t>a</w:t>
            </w:r>
            <w:r w:rsidR="00235C8B" w:rsidRPr="00A31C8F">
              <w:t>fter</w:t>
            </w:r>
            <w:r w:rsidRPr="00A31C8F">
              <w:t xml:space="preserve"> </w:t>
            </w:r>
            <w:r w:rsidR="00235C8B" w:rsidRPr="00A31C8F">
              <w:t xml:space="preserve">__/__/20__ </w:t>
            </w:r>
          </w:p>
          <w:p w:rsidR="00235C8B" w:rsidRPr="00A31C8F" w:rsidRDefault="00235C8B" w:rsidP="00A31C8F">
            <w:pPr>
              <w:keepNext/>
              <w:jc w:val="both"/>
            </w:pPr>
            <w:r w:rsidRPr="00A31C8F">
              <w:t xml:space="preserve">             </w:t>
            </w:r>
          </w:p>
          <w:p w:rsidR="00235C8B" w:rsidRPr="00A31C8F" w:rsidRDefault="00EE575F" w:rsidP="00A31C8F">
            <w:pPr>
              <w:keepNext/>
              <w:ind w:left="284" w:hanging="284"/>
              <w:jc w:val="both"/>
            </w:pPr>
            <w:r w:rsidRPr="00A31C8F">
              <w:t xml:space="preserve"> </w:t>
            </w:r>
            <w:sdt>
              <w:sdtPr>
                <w:id w:val="-272940242"/>
                <w14:checkbox>
                  <w14:checked w14:val="0"/>
                  <w14:checkedState w14:val="2612" w14:font="MS Gothic"/>
                  <w14:uncheckedState w14:val="2610" w14:font="MS Gothic"/>
                </w14:checkbox>
              </w:sdtPr>
              <w:sdtEndPr/>
              <w:sdtContent>
                <w:r w:rsidRPr="00A31C8F">
                  <w:rPr>
                    <w:rFonts w:ascii="MS Gothic" w:eastAsia="MS Gothic" w:hAnsi="MS Gothic" w:cs="MS Gothic" w:hint="eastAsia"/>
                  </w:rPr>
                  <w:t>☐</w:t>
                </w:r>
              </w:sdtContent>
            </w:sdt>
            <w:r w:rsidRPr="00A31C8F">
              <w:t xml:space="preserve"> I </w:t>
            </w:r>
            <w:r w:rsidR="00235C8B" w:rsidRPr="00A31C8F">
              <w:t xml:space="preserve">give approval for the web title and location of the final output to be made available through the HBS website after __/__/20__            </w:t>
            </w:r>
          </w:p>
          <w:p w:rsidR="00235C8B" w:rsidRPr="00A31C8F" w:rsidRDefault="00235C8B" w:rsidP="00A31C8F">
            <w:pPr>
              <w:keepNext/>
              <w:jc w:val="both"/>
            </w:pPr>
          </w:p>
          <w:p w:rsidR="00235C8B" w:rsidRPr="00A31C8F" w:rsidRDefault="00235C8B" w:rsidP="00476D41">
            <w:pPr>
              <w:keepNext/>
              <w:jc w:val="both"/>
              <w:rPr>
                <w:i/>
                <w:sz w:val="20"/>
                <w:szCs w:val="20"/>
                <w:highlight w:val="yellow"/>
              </w:rPr>
            </w:pPr>
          </w:p>
        </w:tc>
      </w:tr>
      <w:tr w:rsidR="00235C8B" w:rsidRPr="00A31C8F" w:rsidTr="00827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0632"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5C8B" w:rsidRPr="00A31C8F" w:rsidRDefault="00235C8B" w:rsidP="00A31C8F">
            <w:pPr>
              <w:keepNext/>
              <w:jc w:val="both"/>
              <w:rPr>
                <w:rFonts w:eastAsiaTheme="minorHAnsi"/>
                <w:i/>
                <w:iCs/>
                <w:sz w:val="20"/>
                <w:szCs w:val="20"/>
              </w:rPr>
            </w:pPr>
          </w:p>
          <w:p w:rsidR="00235C8B" w:rsidRPr="00476D41" w:rsidRDefault="00235C8B" w:rsidP="00A31C8F">
            <w:pPr>
              <w:keepNext/>
              <w:jc w:val="both"/>
              <w:rPr>
                <w:b/>
                <w:iCs/>
                <w:sz w:val="20"/>
                <w:szCs w:val="20"/>
              </w:rPr>
            </w:pPr>
            <w:r w:rsidRPr="00476D41">
              <w:rPr>
                <w:b/>
                <w:iCs/>
                <w:sz w:val="20"/>
                <w:szCs w:val="20"/>
              </w:rPr>
              <w:t>FOR COMPLETION BY PERSON CLEARING OUTPUT</w:t>
            </w:r>
          </w:p>
          <w:p w:rsidR="00235C8B" w:rsidRPr="00A31C8F" w:rsidRDefault="00235C8B" w:rsidP="00A31C8F">
            <w:pPr>
              <w:keepNext/>
              <w:jc w:val="both"/>
              <w:rPr>
                <w:rFonts w:eastAsiaTheme="minorHAnsi"/>
                <w:i/>
                <w:iCs/>
                <w:sz w:val="20"/>
                <w:szCs w:val="20"/>
              </w:rPr>
            </w:pPr>
          </w:p>
        </w:tc>
      </w:tr>
      <w:tr w:rsidR="00772181" w:rsidRPr="00A31C8F" w:rsidTr="00D54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2181" w:rsidRPr="00A31C8F" w:rsidRDefault="00772181" w:rsidP="00772181">
            <w:pPr>
              <w:keepNext/>
              <w:jc w:val="both"/>
              <w:rPr>
                <w:rFonts w:eastAsiaTheme="minorHAnsi"/>
              </w:rPr>
            </w:pPr>
            <w:r>
              <w:rPr>
                <w:i/>
                <w:iCs/>
                <w:sz w:val="20"/>
                <w:szCs w:val="20"/>
              </w:rPr>
              <w:t>Clearance</w:t>
            </w:r>
            <w:r w:rsidRPr="00A31C8F">
              <w:rPr>
                <w:i/>
                <w:iCs/>
                <w:sz w:val="20"/>
                <w:szCs w:val="20"/>
              </w:rPr>
              <w:t xml:space="preserve"> </w:t>
            </w:r>
            <w:r>
              <w:rPr>
                <w:i/>
                <w:iCs/>
                <w:sz w:val="20"/>
                <w:szCs w:val="20"/>
              </w:rPr>
              <w:t>person 1</w:t>
            </w:r>
            <w:r>
              <w:t>:</w:t>
            </w:r>
            <w:r w:rsidRPr="00A31C8F">
              <w:t>     </w:t>
            </w:r>
          </w:p>
        </w:tc>
        <w:tc>
          <w:tcPr>
            <w:tcW w:w="2606" w:type="dxa"/>
            <w:gridSpan w:val="2"/>
            <w:tcBorders>
              <w:top w:val="nil"/>
              <w:left w:val="single" w:sz="8" w:space="0" w:color="auto"/>
              <w:bottom w:val="single" w:sz="8" w:space="0" w:color="auto"/>
              <w:right w:val="single" w:sz="8" w:space="0" w:color="auto"/>
            </w:tcBorders>
          </w:tcPr>
          <w:p w:rsidR="00772181" w:rsidRPr="00A31C8F" w:rsidRDefault="00772181" w:rsidP="00772181">
            <w:pPr>
              <w:keepNext/>
              <w:jc w:val="both"/>
              <w:rPr>
                <w:rFonts w:eastAsiaTheme="minorHAnsi"/>
              </w:rPr>
            </w:pPr>
            <w:r>
              <w:rPr>
                <w:i/>
                <w:iCs/>
                <w:sz w:val="20"/>
                <w:szCs w:val="20"/>
              </w:rPr>
              <w:t>Clearance</w:t>
            </w:r>
            <w:r w:rsidRPr="00A31C8F">
              <w:rPr>
                <w:i/>
                <w:iCs/>
                <w:sz w:val="20"/>
                <w:szCs w:val="20"/>
              </w:rPr>
              <w:t xml:space="preserve"> </w:t>
            </w:r>
            <w:r>
              <w:rPr>
                <w:i/>
                <w:iCs/>
                <w:sz w:val="20"/>
                <w:szCs w:val="20"/>
              </w:rPr>
              <w:t>person 2</w:t>
            </w:r>
            <w:r>
              <w:t>:</w:t>
            </w:r>
            <w:r w:rsidRPr="00A31C8F">
              <w:t>     </w:t>
            </w:r>
          </w:p>
        </w:tc>
        <w:tc>
          <w:tcPr>
            <w:tcW w:w="212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72181" w:rsidRDefault="00772181" w:rsidP="00772181">
            <w:pPr>
              <w:keepNext/>
              <w:jc w:val="both"/>
            </w:pPr>
            <w:r w:rsidRPr="00A31C8F">
              <w:rPr>
                <w:i/>
                <w:iCs/>
                <w:sz w:val="20"/>
                <w:szCs w:val="20"/>
              </w:rPr>
              <w:t>Date received</w:t>
            </w:r>
            <w:r>
              <w:t>:</w:t>
            </w:r>
          </w:p>
          <w:p w:rsidR="00772181" w:rsidRPr="00A31C8F" w:rsidRDefault="00772181" w:rsidP="00772181">
            <w:pPr>
              <w:keepNext/>
              <w:jc w:val="both"/>
              <w:rPr>
                <w:rFonts w:eastAsiaTheme="minorHAnsi"/>
              </w:rPr>
            </w:pPr>
            <w:r w:rsidRPr="00A31C8F">
              <w:t>     </w:t>
            </w:r>
          </w:p>
        </w:tc>
        <w:tc>
          <w:tcPr>
            <w:tcW w:w="3294" w:type="dxa"/>
            <w:tcBorders>
              <w:top w:val="nil"/>
              <w:left w:val="nil"/>
              <w:bottom w:val="single" w:sz="8" w:space="0" w:color="auto"/>
              <w:right w:val="single" w:sz="8" w:space="0" w:color="auto"/>
            </w:tcBorders>
            <w:tcMar>
              <w:top w:w="0" w:type="dxa"/>
              <w:left w:w="108" w:type="dxa"/>
              <w:bottom w:w="0" w:type="dxa"/>
              <w:right w:w="108" w:type="dxa"/>
            </w:tcMar>
            <w:hideMark/>
          </w:tcPr>
          <w:p w:rsidR="00772181" w:rsidRDefault="00772181" w:rsidP="00772181">
            <w:pPr>
              <w:keepNext/>
              <w:jc w:val="both"/>
            </w:pPr>
            <w:r w:rsidRPr="00A31C8F">
              <w:rPr>
                <w:i/>
                <w:iCs/>
                <w:sz w:val="20"/>
                <w:szCs w:val="20"/>
              </w:rPr>
              <w:t xml:space="preserve">Date </w:t>
            </w:r>
            <w:r>
              <w:rPr>
                <w:i/>
                <w:iCs/>
                <w:sz w:val="20"/>
                <w:szCs w:val="20"/>
              </w:rPr>
              <w:t>completed:</w:t>
            </w:r>
          </w:p>
          <w:p w:rsidR="00772181" w:rsidRPr="00A31C8F" w:rsidRDefault="00772181" w:rsidP="00772181">
            <w:pPr>
              <w:keepNext/>
              <w:jc w:val="both"/>
              <w:rPr>
                <w:rFonts w:eastAsiaTheme="minorHAnsi"/>
                <w:i/>
                <w:iCs/>
                <w:sz w:val="20"/>
                <w:szCs w:val="20"/>
              </w:rPr>
            </w:pPr>
          </w:p>
          <w:p w:rsidR="00772181" w:rsidRPr="00A31C8F" w:rsidRDefault="00772181" w:rsidP="00772181">
            <w:pPr>
              <w:keepNext/>
              <w:jc w:val="both"/>
              <w:rPr>
                <w:rFonts w:eastAsiaTheme="minorHAnsi"/>
              </w:rPr>
            </w:pPr>
            <w:r w:rsidRPr="00A31C8F">
              <w:t>     </w:t>
            </w:r>
          </w:p>
        </w:tc>
      </w:tr>
      <w:tr w:rsidR="00772181" w:rsidRPr="00A31C8F" w:rsidTr="00827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0632" w:type="dxa"/>
            <w:gridSpan w:val="7"/>
            <w:tcBorders>
              <w:top w:val="nil"/>
              <w:left w:val="single" w:sz="8" w:space="0" w:color="auto"/>
              <w:bottom w:val="nil"/>
              <w:right w:val="single" w:sz="8" w:space="0" w:color="auto"/>
            </w:tcBorders>
            <w:tcMar>
              <w:top w:w="0" w:type="dxa"/>
              <w:left w:w="108" w:type="dxa"/>
              <w:bottom w:w="0" w:type="dxa"/>
              <w:right w:w="108" w:type="dxa"/>
            </w:tcMar>
            <w:hideMark/>
          </w:tcPr>
          <w:p w:rsidR="00772181" w:rsidRPr="00A31C8F" w:rsidRDefault="00772181" w:rsidP="00772181">
            <w:pPr>
              <w:jc w:val="both"/>
              <w:rPr>
                <w:rFonts w:eastAsiaTheme="minorHAnsi"/>
                <w:i/>
                <w:iCs/>
                <w:snapToGrid w:val="0"/>
                <w:sz w:val="20"/>
                <w:szCs w:val="20"/>
              </w:rPr>
            </w:pPr>
            <w:r w:rsidRPr="00A31C8F">
              <w:rPr>
                <w:i/>
                <w:iCs/>
                <w:snapToGrid w:val="0"/>
                <w:sz w:val="20"/>
                <w:szCs w:val="20"/>
              </w:rPr>
              <w:t>Clearance clarifications, limitations and recommendations:</w:t>
            </w:r>
          </w:p>
          <w:p w:rsidR="00772181" w:rsidRPr="00A31C8F" w:rsidRDefault="00772181" w:rsidP="00772181">
            <w:pPr>
              <w:jc w:val="both"/>
              <w:rPr>
                <w:rFonts w:eastAsiaTheme="minorHAnsi"/>
              </w:rPr>
            </w:pPr>
            <w:r w:rsidRPr="00A31C8F">
              <w:t>     </w:t>
            </w:r>
          </w:p>
        </w:tc>
      </w:tr>
      <w:tr w:rsidR="00772181" w:rsidRPr="00A31C8F" w:rsidTr="00827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0632" w:type="dxa"/>
            <w:gridSpan w:val="7"/>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772181" w:rsidRPr="00A31C8F" w:rsidRDefault="00772181" w:rsidP="00772181">
            <w:pPr>
              <w:jc w:val="both"/>
              <w:rPr>
                <w:rFonts w:eastAsiaTheme="minorHAnsi"/>
                <w:i/>
                <w:iCs/>
                <w:sz w:val="20"/>
                <w:szCs w:val="20"/>
              </w:rPr>
            </w:pPr>
            <w:r w:rsidRPr="00A31C8F">
              <w:rPr>
                <w:i/>
                <w:iCs/>
                <w:sz w:val="20"/>
                <w:szCs w:val="20"/>
              </w:rPr>
              <w:t>Comments affecting clearance:</w:t>
            </w:r>
          </w:p>
          <w:p w:rsidR="00772181" w:rsidRPr="00A31C8F" w:rsidRDefault="00772181" w:rsidP="00772181">
            <w:pPr>
              <w:jc w:val="both"/>
              <w:rPr>
                <w:rFonts w:eastAsiaTheme="minorHAnsi"/>
              </w:rPr>
            </w:pPr>
            <w:r w:rsidRPr="00A31C8F">
              <w:t>     </w:t>
            </w:r>
          </w:p>
        </w:tc>
      </w:tr>
      <w:tr w:rsidR="00772181" w:rsidRPr="00A31C8F" w:rsidTr="00827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0632"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72181" w:rsidRPr="00A31C8F" w:rsidRDefault="00772181" w:rsidP="00772181">
            <w:pPr>
              <w:jc w:val="both"/>
              <w:rPr>
                <w:rFonts w:eastAsiaTheme="minorHAnsi"/>
                <w:i/>
                <w:iCs/>
                <w:sz w:val="20"/>
                <w:szCs w:val="20"/>
              </w:rPr>
            </w:pPr>
            <w:r w:rsidRPr="00A31C8F">
              <w:rPr>
                <w:i/>
                <w:iCs/>
                <w:sz w:val="20"/>
                <w:szCs w:val="20"/>
              </w:rPr>
              <w:t>Comments not affecting clearance:</w:t>
            </w:r>
          </w:p>
          <w:p w:rsidR="00772181" w:rsidRPr="00A31C8F" w:rsidRDefault="00772181" w:rsidP="00772181">
            <w:pPr>
              <w:jc w:val="both"/>
              <w:rPr>
                <w:rFonts w:eastAsiaTheme="minorHAnsi"/>
              </w:rPr>
            </w:pPr>
            <w:r w:rsidRPr="00A31C8F">
              <w:t>     </w:t>
            </w:r>
          </w:p>
        </w:tc>
      </w:tr>
      <w:tr w:rsidR="00772181" w:rsidRPr="00A31C8F" w:rsidTr="00827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063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rsidR="00772181" w:rsidRPr="00A31C8F" w:rsidRDefault="00772181" w:rsidP="00772181">
            <w:pPr>
              <w:jc w:val="both"/>
              <w:rPr>
                <w:rFonts w:eastAsiaTheme="minorHAnsi"/>
                <w:b/>
                <w:bCs/>
              </w:rPr>
            </w:pPr>
            <w:r w:rsidRPr="00A31C8F">
              <w:rPr>
                <w:b/>
                <w:bCs/>
              </w:rPr>
              <w:t xml:space="preserve">Cleared  </w:t>
            </w:r>
            <w:sdt>
              <w:sdtPr>
                <w:rPr>
                  <w:b/>
                  <w:bCs/>
                </w:rPr>
                <w:id w:val="-210271100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A31C8F">
              <w:rPr>
                <w:b/>
                <w:bCs/>
              </w:rPr>
              <w:t xml:space="preserve">     </w:t>
            </w:r>
          </w:p>
          <w:p w:rsidR="00772181" w:rsidRPr="00A31C8F" w:rsidRDefault="00772181" w:rsidP="00772181">
            <w:pPr>
              <w:jc w:val="both"/>
              <w:rPr>
                <w:b/>
                <w:bCs/>
              </w:rPr>
            </w:pPr>
            <w:r w:rsidRPr="00A31C8F">
              <w:rPr>
                <w:b/>
                <w:bCs/>
              </w:rPr>
              <w:t xml:space="preserve">Cleared if changes implemented &amp; final version received by HBS   </w:t>
            </w:r>
            <w:sdt>
              <w:sdtPr>
                <w:rPr>
                  <w:b/>
                  <w:bCs/>
                </w:rPr>
                <w:id w:val="-1436587065"/>
                <w14:checkbox>
                  <w14:checked w14:val="0"/>
                  <w14:checkedState w14:val="2612" w14:font="MS Gothic"/>
                  <w14:uncheckedState w14:val="2610" w14:font="MS Gothic"/>
                </w14:checkbox>
              </w:sdtPr>
              <w:sdtEndPr/>
              <w:sdtContent>
                <w:r w:rsidRPr="00A31C8F">
                  <w:rPr>
                    <w:rFonts w:ascii="MS Gothic" w:eastAsia="MS Gothic" w:hAnsi="MS Gothic" w:cs="MS Gothic" w:hint="eastAsia"/>
                    <w:b/>
                    <w:bCs/>
                  </w:rPr>
                  <w:t>☐</w:t>
                </w:r>
              </w:sdtContent>
            </w:sdt>
            <w:r w:rsidRPr="00A31C8F">
              <w:rPr>
                <w:b/>
                <w:bCs/>
              </w:rPr>
              <w:t xml:space="preserve">     </w:t>
            </w:r>
          </w:p>
          <w:p w:rsidR="00772181" w:rsidRPr="00A31C8F" w:rsidRDefault="00772181" w:rsidP="00772181">
            <w:pPr>
              <w:jc w:val="both"/>
              <w:rPr>
                <w:b/>
                <w:bCs/>
              </w:rPr>
            </w:pPr>
            <w:r w:rsidRPr="00A31C8F">
              <w:rPr>
                <w:b/>
                <w:bCs/>
              </w:rPr>
              <w:t xml:space="preserve">Not cleared  </w:t>
            </w:r>
            <w:sdt>
              <w:sdtPr>
                <w:rPr>
                  <w:b/>
                  <w:bCs/>
                </w:rPr>
                <w:id w:val="-120302652"/>
                <w14:checkbox>
                  <w14:checked w14:val="0"/>
                  <w14:checkedState w14:val="2612" w14:font="MS Gothic"/>
                  <w14:uncheckedState w14:val="2610" w14:font="MS Gothic"/>
                </w14:checkbox>
              </w:sdtPr>
              <w:sdtEndPr/>
              <w:sdtContent>
                <w:r w:rsidRPr="00A31C8F">
                  <w:rPr>
                    <w:rFonts w:ascii="MS Gothic" w:eastAsia="MS Gothic" w:hAnsi="MS Gothic" w:cs="MS Gothic" w:hint="eastAsia"/>
                    <w:b/>
                    <w:bCs/>
                  </w:rPr>
                  <w:t>☐</w:t>
                </w:r>
              </w:sdtContent>
            </w:sdt>
          </w:p>
          <w:p w:rsidR="00772181" w:rsidRPr="00A31C8F" w:rsidRDefault="00772181" w:rsidP="00772181">
            <w:pPr>
              <w:jc w:val="both"/>
              <w:rPr>
                <w:b/>
                <w:bCs/>
                <w:sz w:val="20"/>
                <w:szCs w:val="20"/>
                <w:highlight w:val="yellow"/>
                <w:u w:val="single"/>
              </w:rPr>
            </w:pPr>
          </w:p>
          <w:p w:rsidR="00772181" w:rsidRPr="00A31C8F" w:rsidRDefault="00772181" w:rsidP="00772181">
            <w:pPr>
              <w:jc w:val="both"/>
              <w:rPr>
                <w:rFonts w:eastAsiaTheme="minorHAnsi"/>
                <w:b/>
                <w:bCs/>
              </w:rPr>
            </w:pPr>
            <w:r w:rsidRPr="00A31C8F">
              <w:rPr>
                <w:b/>
                <w:bCs/>
                <w:sz w:val="20"/>
                <w:szCs w:val="20"/>
                <w:u w:val="single"/>
              </w:rPr>
              <w:t>N.B. Final Outputs can only be disseminated once a finalised copy, incorporating all the required changes, is received by the HBS. Failure to adhere to this requirement may result in the Research Team being denied access to the HBS.</w:t>
            </w:r>
          </w:p>
        </w:tc>
      </w:tr>
    </w:tbl>
    <w:p w:rsidR="00235C8B" w:rsidRPr="00A31C8F" w:rsidRDefault="00235C8B" w:rsidP="00A31C8F">
      <w:pPr>
        <w:jc w:val="both"/>
      </w:pPr>
    </w:p>
    <w:p w:rsidR="00235C8B" w:rsidRPr="00A31C8F" w:rsidRDefault="00235C8B" w:rsidP="00A31C8F">
      <w:pPr>
        <w:jc w:val="both"/>
      </w:pPr>
    </w:p>
    <w:p w:rsidR="00235C8B" w:rsidRPr="00A31C8F" w:rsidRDefault="00235C8B" w:rsidP="00A31C8F">
      <w:pPr>
        <w:jc w:val="both"/>
      </w:pPr>
    </w:p>
    <w:p w:rsidR="00235C8B" w:rsidRPr="00A31C8F" w:rsidRDefault="00235C8B" w:rsidP="00A31C8F">
      <w:pPr>
        <w:jc w:val="both"/>
      </w:pPr>
    </w:p>
    <w:p w:rsidR="00235C8B" w:rsidRPr="00A31C8F" w:rsidRDefault="00235C8B" w:rsidP="00A31C8F">
      <w:pPr>
        <w:jc w:val="both"/>
      </w:pPr>
    </w:p>
    <w:bookmarkEnd w:id="0"/>
    <w:bookmarkEnd w:id="1"/>
    <w:p w:rsidR="00585CA1" w:rsidRPr="00A31C8F" w:rsidRDefault="00585CA1" w:rsidP="00A31C8F">
      <w:pPr>
        <w:jc w:val="both"/>
      </w:pPr>
    </w:p>
    <w:sectPr w:rsidR="00585CA1" w:rsidRPr="00A31C8F" w:rsidSect="00236590">
      <w:headerReference w:type="even" r:id="rId12"/>
      <w:headerReference w:type="default" r:id="rId13"/>
      <w:footerReference w:type="even" r:id="rId14"/>
      <w:footerReference w:type="default" r:id="rId15"/>
      <w:headerReference w:type="first" r:id="rId16"/>
      <w:footerReference w:type="first" r:id="rId17"/>
      <w:pgSz w:w="11906" w:h="16838" w:code="9"/>
      <w:pgMar w:top="1560" w:right="1416" w:bottom="425"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5A5" w:rsidRDefault="008225A5">
      <w:r>
        <w:separator/>
      </w:r>
    </w:p>
  </w:endnote>
  <w:endnote w:type="continuationSeparator" w:id="0">
    <w:p w:rsidR="008225A5" w:rsidRDefault="0082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5A5" w:rsidRDefault="008225A5" w:rsidP="00410321">
    <w:pPr>
      <w:pStyle w:val="Footer"/>
      <w:jc w:val="center"/>
    </w:pPr>
    <w:r w:rsidRPr="00D00C4C">
      <w:rPr>
        <w:rFonts w:ascii="Verdana" w:hAnsi="Verdana"/>
        <w:sz w:val="22"/>
        <w:szCs w:val="22"/>
        <w:lang w:val="en-US"/>
      </w:rPr>
      <w:t xml:space="preserve">Page </w:t>
    </w:r>
    <w:r w:rsidRPr="00D00C4C">
      <w:rPr>
        <w:rFonts w:ascii="Verdana" w:hAnsi="Verdana"/>
        <w:sz w:val="22"/>
        <w:szCs w:val="22"/>
        <w:lang w:val="en-US"/>
      </w:rPr>
      <w:fldChar w:fldCharType="begin"/>
    </w:r>
    <w:r w:rsidRPr="00D00C4C">
      <w:rPr>
        <w:rFonts w:ascii="Verdana" w:hAnsi="Verdana"/>
        <w:sz w:val="22"/>
        <w:szCs w:val="22"/>
        <w:lang w:val="en-US"/>
      </w:rPr>
      <w:instrText xml:space="preserve"> PAGE </w:instrText>
    </w:r>
    <w:r w:rsidRPr="00D00C4C">
      <w:rPr>
        <w:rFonts w:ascii="Verdana" w:hAnsi="Verdana"/>
        <w:sz w:val="22"/>
        <w:szCs w:val="22"/>
        <w:lang w:val="en-US"/>
      </w:rPr>
      <w:fldChar w:fldCharType="separate"/>
    </w:r>
    <w:r>
      <w:rPr>
        <w:rFonts w:ascii="Verdana" w:hAnsi="Verdana"/>
        <w:noProof/>
        <w:sz w:val="22"/>
        <w:szCs w:val="22"/>
        <w:lang w:val="en-US"/>
      </w:rPr>
      <w:t>2</w:t>
    </w:r>
    <w:r w:rsidRPr="00D00C4C">
      <w:rPr>
        <w:rFonts w:ascii="Verdana" w:hAnsi="Verdana"/>
        <w:sz w:val="22"/>
        <w:szCs w:val="22"/>
        <w:lang w:val="en-US"/>
      </w:rPr>
      <w:fldChar w:fldCharType="end"/>
    </w:r>
    <w:r w:rsidRPr="00D00C4C">
      <w:rPr>
        <w:rFonts w:ascii="Verdana" w:hAnsi="Verdana"/>
        <w:sz w:val="22"/>
        <w:szCs w:val="22"/>
        <w:lang w:val="en-US"/>
      </w:rPr>
      <w:t xml:space="preserve"> of </w:t>
    </w:r>
    <w:r w:rsidRPr="00D00C4C">
      <w:rPr>
        <w:rFonts w:ascii="Verdana" w:hAnsi="Verdana"/>
        <w:sz w:val="22"/>
        <w:szCs w:val="22"/>
        <w:lang w:val="en-US"/>
      </w:rPr>
      <w:fldChar w:fldCharType="begin"/>
    </w:r>
    <w:r w:rsidRPr="00D00C4C">
      <w:rPr>
        <w:rFonts w:ascii="Verdana" w:hAnsi="Verdana"/>
        <w:sz w:val="22"/>
        <w:szCs w:val="22"/>
        <w:lang w:val="en-US"/>
      </w:rPr>
      <w:instrText xml:space="preserve"> NUMPAGES </w:instrText>
    </w:r>
    <w:r w:rsidRPr="00D00C4C">
      <w:rPr>
        <w:rFonts w:ascii="Verdana" w:hAnsi="Verdana"/>
        <w:sz w:val="22"/>
        <w:szCs w:val="22"/>
        <w:lang w:val="en-US"/>
      </w:rPr>
      <w:fldChar w:fldCharType="separate"/>
    </w:r>
    <w:r w:rsidR="007D38DD">
      <w:rPr>
        <w:rFonts w:ascii="Verdana" w:hAnsi="Verdana"/>
        <w:noProof/>
        <w:sz w:val="22"/>
        <w:szCs w:val="22"/>
        <w:lang w:val="en-US"/>
      </w:rPr>
      <w:t>4</w:t>
    </w:r>
    <w:r w:rsidRPr="00D00C4C">
      <w:rPr>
        <w:rFonts w:ascii="Verdana" w:hAnsi="Verdana"/>
        <w:sz w:val="22"/>
        <w:szCs w:val="22"/>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635301050"/>
      <w:docPartObj>
        <w:docPartGallery w:val="Page Numbers (Bottom of Page)"/>
        <w:docPartUnique/>
      </w:docPartObj>
    </w:sdtPr>
    <w:sdtEndPr/>
    <w:sdtContent>
      <w:sdt>
        <w:sdtPr>
          <w:rPr>
            <w:rFonts w:asciiTheme="minorHAnsi" w:hAnsiTheme="minorHAnsi" w:cstheme="minorHAnsi"/>
            <w:sz w:val="22"/>
            <w:szCs w:val="22"/>
          </w:rPr>
          <w:id w:val="860082579"/>
          <w:docPartObj>
            <w:docPartGallery w:val="Page Numbers (Top of Page)"/>
            <w:docPartUnique/>
          </w:docPartObj>
        </w:sdtPr>
        <w:sdtEndPr/>
        <w:sdtContent>
          <w:p w:rsidR="00236590" w:rsidRPr="00236590" w:rsidRDefault="00236590">
            <w:pPr>
              <w:pStyle w:val="Footer"/>
              <w:jc w:val="right"/>
              <w:rPr>
                <w:rFonts w:asciiTheme="minorHAnsi" w:hAnsiTheme="minorHAnsi" w:cstheme="minorHAnsi"/>
                <w:sz w:val="22"/>
                <w:szCs w:val="22"/>
              </w:rPr>
            </w:pPr>
          </w:p>
          <w:p w:rsidR="00236590" w:rsidRPr="00236590" w:rsidRDefault="00236590">
            <w:pPr>
              <w:pStyle w:val="Footer"/>
              <w:jc w:val="right"/>
              <w:rPr>
                <w:rFonts w:asciiTheme="minorHAnsi" w:hAnsiTheme="minorHAnsi" w:cstheme="minorHAnsi"/>
                <w:sz w:val="22"/>
                <w:szCs w:val="22"/>
              </w:rPr>
            </w:pPr>
            <w:r w:rsidRPr="00236590">
              <w:rPr>
                <w:rFonts w:asciiTheme="minorHAnsi" w:hAnsiTheme="minorHAnsi" w:cstheme="minorHAnsi"/>
                <w:sz w:val="22"/>
                <w:szCs w:val="22"/>
              </w:rPr>
              <w:t xml:space="preserve">Page </w:t>
            </w:r>
            <w:r w:rsidRPr="00236590">
              <w:rPr>
                <w:rFonts w:asciiTheme="minorHAnsi" w:hAnsiTheme="minorHAnsi" w:cstheme="minorHAnsi"/>
                <w:b/>
                <w:bCs/>
                <w:sz w:val="22"/>
                <w:szCs w:val="22"/>
              </w:rPr>
              <w:fldChar w:fldCharType="begin"/>
            </w:r>
            <w:r w:rsidRPr="00236590">
              <w:rPr>
                <w:rFonts w:asciiTheme="minorHAnsi" w:hAnsiTheme="minorHAnsi" w:cstheme="minorHAnsi"/>
                <w:b/>
                <w:bCs/>
                <w:sz w:val="22"/>
                <w:szCs w:val="22"/>
              </w:rPr>
              <w:instrText xml:space="preserve"> PAGE </w:instrText>
            </w:r>
            <w:r w:rsidRPr="00236590">
              <w:rPr>
                <w:rFonts w:asciiTheme="minorHAnsi" w:hAnsiTheme="minorHAnsi" w:cstheme="minorHAnsi"/>
                <w:b/>
                <w:bCs/>
                <w:sz w:val="22"/>
                <w:szCs w:val="22"/>
              </w:rPr>
              <w:fldChar w:fldCharType="separate"/>
            </w:r>
            <w:r w:rsidR="00D24519">
              <w:rPr>
                <w:rFonts w:asciiTheme="minorHAnsi" w:hAnsiTheme="minorHAnsi" w:cstheme="minorHAnsi"/>
                <w:b/>
                <w:bCs/>
                <w:noProof/>
                <w:sz w:val="22"/>
                <w:szCs w:val="22"/>
              </w:rPr>
              <w:t>1</w:t>
            </w:r>
            <w:r w:rsidRPr="00236590">
              <w:rPr>
                <w:rFonts w:asciiTheme="minorHAnsi" w:hAnsiTheme="minorHAnsi" w:cstheme="minorHAnsi"/>
                <w:b/>
                <w:bCs/>
                <w:sz w:val="22"/>
                <w:szCs w:val="22"/>
              </w:rPr>
              <w:fldChar w:fldCharType="end"/>
            </w:r>
            <w:r w:rsidRPr="00236590">
              <w:rPr>
                <w:rFonts w:asciiTheme="minorHAnsi" w:hAnsiTheme="minorHAnsi" w:cstheme="minorHAnsi"/>
                <w:sz w:val="22"/>
                <w:szCs w:val="22"/>
              </w:rPr>
              <w:t xml:space="preserve"> of </w:t>
            </w:r>
            <w:r w:rsidRPr="00236590">
              <w:rPr>
                <w:rFonts w:asciiTheme="minorHAnsi" w:hAnsiTheme="minorHAnsi" w:cstheme="minorHAnsi"/>
                <w:b/>
                <w:bCs/>
                <w:sz w:val="22"/>
                <w:szCs w:val="22"/>
              </w:rPr>
              <w:fldChar w:fldCharType="begin"/>
            </w:r>
            <w:r w:rsidRPr="00236590">
              <w:rPr>
                <w:rFonts w:asciiTheme="minorHAnsi" w:hAnsiTheme="minorHAnsi" w:cstheme="minorHAnsi"/>
                <w:b/>
                <w:bCs/>
                <w:sz w:val="22"/>
                <w:szCs w:val="22"/>
              </w:rPr>
              <w:instrText xml:space="preserve"> NUMPAGES  </w:instrText>
            </w:r>
            <w:r w:rsidRPr="00236590">
              <w:rPr>
                <w:rFonts w:asciiTheme="minorHAnsi" w:hAnsiTheme="minorHAnsi" w:cstheme="minorHAnsi"/>
                <w:b/>
                <w:bCs/>
                <w:sz w:val="22"/>
                <w:szCs w:val="22"/>
              </w:rPr>
              <w:fldChar w:fldCharType="separate"/>
            </w:r>
            <w:r w:rsidR="00D24519">
              <w:rPr>
                <w:rFonts w:asciiTheme="minorHAnsi" w:hAnsiTheme="minorHAnsi" w:cstheme="minorHAnsi"/>
                <w:b/>
                <w:bCs/>
                <w:noProof/>
                <w:sz w:val="22"/>
                <w:szCs w:val="22"/>
              </w:rPr>
              <w:t>5</w:t>
            </w:r>
            <w:r w:rsidRPr="00236590">
              <w:rPr>
                <w:rFonts w:asciiTheme="minorHAnsi" w:hAnsiTheme="minorHAnsi" w:cstheme="minorHAnsi"/>
                <w:b/>
                <w:bCs/>
                <w:sz w:val="22"/>
                <w:szCs w:val="22"/>
              </w:rPr>
              <w:fldChar w:fldCharType="end"/>
            </w:r>
          </w:p>
        </w:sdtContent>
      </w:sdt>
    </w:sdtContent>
  </w:sdt>
  <w:p w:rsidR="008225A5" w:rsidRPr="00D00C4C" w:rsidRDefault="008225A5" w:rsidP="00D00C4C">
    <w:pPr>
      <w:pStyle w:val="Footer"/>
      <w:jc w:val="center"/>
      <w:rPr>
        <w:rFonts w:ascii="Verdana" w:hAnsi="Verdan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634" w:rsidRDefault="00164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5A5" w:rsidRDefault="008225A5">
      <w:r>
        <w:separator/>
      </w:r>
    </w:p>
  </w:footnote>
  <w:footnote w:type="continuationSeparator" w:id="0">
    <w:p w:rsidR="008225A5" w:rsidRDefault="00822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634" w:rsidRDefault="00164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5A5" w:rsidRPr="00ED1622" w:rsidRDefault="00AD3166" w:rsidP="005A1C61">
    <w:pPr>
      <w:pStyle w:val="Header"/>
      <w:tabs>
        <w:tab w:val="clear" w:pos="8306"/>
        <w:tab w:val="left" w:pos="8222"/>
        <w:tab w:val="right" w:pos="9781"/>
        <w:tab w:val="left" w:pos="10348"/>
      </w:tabs>
      <w:rPr>
        <w:rFonts w:asciiTheme="minorHAnsi" w:hAnsiTheme="minorHAnsi" w:cstheme="minorHAnsi"/>
        <w:sz w:val="22"/>
        <w:szCs w:val="22"/>
      </w:rPr>
    </w:pPr>
    <w:r>
      <w:rPr>
        <w:rFonts w:asciiTheme="minorHAnsi" w:hAnsiTheme="minorHAnsi" w:cstheme="minorHAnsi"/>
        <w:sz w:val="22"/>
        <w:szCs w:val="22"/>
      </w:rPr>
      <w:t>HBS</w:t>
    </w:r>
    <w:r w:rsidR="00ED1622" w:rsidRPr="00ED1622">
      <w:rPr>
        <w:rFonts w:asciiTheme="minorHAnsi" w:hAnsiTheme="minorHAnsi" w:cstheme="minorHAnsi"/>
        <w:sz w:val="22"/>
        <w:szCs w:val="22"/>
      </w:rPr>
      <w:t xml:space="preserve"> F</w:t>
    </w:r>
    <w:r w:rsidR="00DD6AB1" w:rsidRPr="00ED1622">
      <w:rPr>
        <w:rFonts w:asciiTheme="minorHAnsi" w:hAnsiTheme="minorHAnsi" w:cstheme="minorHAnsi"/>
        <w:sz w:val="22"/>
        <w:szCs w:val="22"/>
      </w:rPr>
      <w:t>inal Output</w:t>
    </w:r>
    <w:r>
      <w:rPr>
        <w:rFonts w:asciiTheme="minorHAnsi" w:hAnsiTheme="minorHAnsi" w:cstheme="minorHAnsi"/>
        <w:sz w:val="22"/>
        <w:szCs w:val="22"/>
      </w:rPr>
      <w:t xml:space="preserve"> Clearance Form</w:t>
    </w:r>
    <w:r>
      <w:rPr>
        <w:rFonts w:asciiTheme="minorHAnsi" w:hAnsiTheme="minorHAnsi" w:cstheme="minorHAnsi"/>
        <w:sz w:val="22"/>
        <w:szCs w:val="22"/>
      </w:rPr>
      <w:tab/>
      <w:t xml:space="preserve">                                                          </w:t>
    </w:r>
    <w:r w:rsidR="00D24519">
      <w:rPr>
        <w:rFonts w:asciiTheme="minorHAnsi" w:hAnsiTheme="minorHAnsi" w:cstheme="minorHAnsi"/>
        <w:sz w:val="22"/>
        <w:szCs w:val="22"/>
      </w:rPr>
      <w:t xml:space="preserve">                              </w:t>
    </w:r>
    <w:r>
      <w:rPr>
        <w:rFonts w:asciiTheme="minorHAnsi" w:hAnsiTheme="minorHAnsi" w:cstheme="minorHAnsi"/>
        <w:sz w:val="22"/>
        <w:szCs w:val="22"/>
      </w:rPr>
      <w:t>V</w:t>
    </w:r>
    <w:r w:rsidR="00D24519">
      <w:rPr>
        <w:rFonts w:asciiTheme="minorHAnsi" w:hAnsiTheme="minorHAnsi" w:cstheme="minorHAnsi"/>
        <w:sz w:val="22"/>
        <w:szCs w:val="22"/>
      </w:rPr>
      <w:t>3.</w:t>
    </w:r>
    <w:r w:rsidR="00164634">
      <w:rPr>
        <w:rFonts w:asciiTheme="minorHAnsi" w:hAnsiTheme="minorHAnsi" w:cstheme="minorHAnsi"/>
        <w:sz w:val="22"/>
        <w:szCs w:val="22"/>
      </w:rPr>
      <w:t>5</w:t>
    </w:r>
    <w:r w:rsidR="00236590">
      <w:rPr>
        <w:rFonts w:asciiTheme="minorHAnsi" w:hAnsiTheme="minorHAnsi" w:cstheme="minorHAnsi"/>
        <w:sz w:val="22"/>
        <w:szCs w:val="22"/>
      </w:rPr>
      <w:t xml:space="preserve"> </w:t>
    </w:r>
    <w:r w:rsidR="00164634">
      <w:rPr>
        <w:rFonts w:asciiTheme="minorHAnsi" w:hAnsiTheme="minorHAnsi" w:cstheme="minorHAnsi"/>
        <w:sz w:val="22"/>
        <w:szCs w:val="22"/>
      </w:rPr>
      <w:t>Jan</w:t>
    </w:r>
    <w:r w:rsidR="00DF5767">
      <w:rPr>
        <w:rFonts w:asciiTheme="minorHAnsi" w:hAnsiTheme="minorHAnsi" w:cstheme="minorHAnsi"/>
        <w:sz w:val="22"/>
        <w:szCs w:val="22"/>
      </w:rPr>
      <w:t xml:space="preserve"> 202</w:t>
    </w:r>
    <w:r w:rsidR="00164634">
      <w:rPr>
        <w:rFonts w:asciiTheme="minorHAnsi" w:hAnsiTheme="minorHAnsi" w:cstheme="minorHAnsi"/>
        <w:sz w:val="22"/>
        <w:szCs w:val="22"/>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634" w:rsidRDefault="00164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42479"/>
    <w:multiLevelType w:val="hybridMultilevel"/>
    <w:tmpl w:val="7E889BA0"/>
    <w:lvl w:ilvl="0" w:tplc="1656529E">
      <w:numFmt w:val="bullet"/>
      <w:lvlText w:val="-"/>
      <w:lvlJc w:val="left"/>
      <w:pPr>
        <w:tabs>
          <w:tab w:val="num" w:pos="720"/>
        </w:tabs>
        <w:ind w:left="720" w:hanging="360"/>
      </w:pPr>
      <w:rPr>
        <w:rFonts w:ascii="Verdana" w:eastAsia="Times New Roman" w:hAnsi="Verdan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B30D2F"/>
    <w:multiLevelType w:val="hybridMultilevel"/>
    <w:tmpl w:val="1F4C29EE"/>
    <w:lvl w:ilvl="0" w:tplc="1656529E">
      <w:numFmt w:val="bullet"/>
      <w:lvlText w:val="-"/>
      <w:lvlJc w:val="left"/>
      <w:pPr>
        <w:tabs>
          <w:tab w:val="num" w:pos="720"/>
        </w:tabs>
        <w:ind w:left="720" w:hanging="360"/>
      </w:pPr>
      <w:rPr>
        <w:rFonts w:ascii="Verdana" w:eastAsia="Times New Roman" w:hAnsi="Verdan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EB3C07"/>
    <w:multiLevelType w:val="hybridMultilevel"/>
    <w:tmpl w:val="7956391A"/>
    <w:lvl w:ilvl="0" w:tplc="B59CB8EA">
      <w:start w:val="1991"/>
      <w:numFmt w:val="bullet"/>
      <w:lvlText w:val="-"/>
      <w:lvlJc w:val="left"/>
      <w:pPr>
        <w:tabs>
          <w:tab w:val="num" w:pos="720"/>
        </w:tabs>
        <w:ind w:left="720" w:hanging="360"/>
      </w:pPr>
      <w:rPr>
        <w:rFonts w:ascii="Times-Roman" w:eastAsia="Times New Roman" w:hAnsi="Times-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9D2625"/>
    <w:multiLevelType w:val="hybridMultilevel"/>
    <w:tmpl w:val="DEF27BCA"/>
    <w:lvl w:ilvl="0" w:tplc="EBB62ADE">
      <w:numFmt w:val="bullet"/>
      <w:lvlText w:val="-"/>
      <w:lvlJc w:val="left"/>
      <w:pPr>
        <w:tabs>
          <w:tab w:val="num" w:pos="720"/>
        </w:tabs>
        <w:ind w:left="720" w:hanging="360"/>
      </w:pPr>
      <w:rPr>
        <w:rFonts w:ascii="Verdana" w:eastAsia="Times New Roman" w:hAnsi="Verdan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AC2B16"/>
    <w:multiLevelType w:val="hybridMultilevel"/>
    <w:tmpl w:val="DC14AD40"/>
    <w:lvl w:ilvl="0" w:tplc="DA4C5186">
      <w:numFmt w:val="bullet"/>
      <w:lvlText w:val="-"/>
      <w:lvlJc w:val="left"/>
      <w:pPr>
        <w:tabs>
          <w:tab w:val="num" w:pos="720"/>
        </w:tabs>
        <w:ind w:left="720" w:hanging="360"/>
      </w:pPr>
      <w:rPr>
        <w:rFonts w:ascii="Verdana" w:eastAsia="Times New Roman" w:hAnsi="Verdan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6C2CDF"/>
    <w:multiLevelType w:val="hybridMultilevel"/>
    <w:tmpl w:val="57C2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82061"/>
    <w:multiLevelType w:val="hybridMultilevel"/>
    <w:tmpl w:val="DD188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4C3C85"/>
    <w:multiLevelType w:val="hybridMultilevel"/>
    <w:tmpl w:val="F86AA590"/>
    <w:lvl w:ilvl="0" w:tplc="01044192">
      <w:start w:val="1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5D5025"/>
    <w:multiLevelType w:val="hybridMultilevel"/>
    <w:tmpl w:val="E37EF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418314D"/>
    <w:multiLevelType w:val="hybridMultilevel"/>
    <w:tmpl w:val="215898E6"/>
    <w:lvl w:ilvl="0" w:tplc="1656529E">
      <w:numFmt w:val="bullet"/>
      <w:lvlText w:val="-"/>
      <w:lvlJc w:val="left"/>
      <w:pPr>
        <w:tabs>
          <w:tab w:val="num" w:pos="720"/>
        </w:tabs>
        <w:ind w:left="720" w:hanging="360"/>
      </w:pPr>
      <w:rPr>
        <w:rFonts w:ascii="Verdana" w:eastAsia="Times New Roman" w:hAnsi="Verdan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317E9D"/>
    <w:multiLevelType w:val="hybridMultilevel"/>
    <w:tmpl w:val="3D9E3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0"/>
  </w:num>
  <w:num w:numId="4">
    <w:abstractNumId w:val="9"/>
  </w:num>
  <w:num w:numId="5">
    <w:abstractNumId w:val="1"/>
  </w:num>
  <w:num w:numId="6">
    <w:abstractNumId w:val="3"/>
  </w:num>
  <w:num w:numId="7">
    <w:abstractNumId w:val="6"/>
  </w:num>
  <w:num w:numId="8">
    <w:abstractNumId w:val="7"/>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953"/>
    <w:rsid w:val="000175C4"/>
    <w:rsid w:val="0003757D"/>
    <w:rsid w:val="000540B2"/>
    <w:rsid w:val="000755EB"/>
    <w:rsid w:val="00077F32"/>
    <w:rsid w:val="00110C73"/>
    <w:rsid w:val="00112A1B"/>
    <w:rsid w:val="001560B0"/>
    <w:rsid w:val="001569C8"/>
    <w:rsid w:val="00164634"/>
    <w:rsid w:val="00173D83"/>
    <w:rsid w:val="0019101B"/>
    <w:rsid w:val="00192CBE"/>
    <w:rsid w:val="001F235C"/>
    <w:rsid w:val="001F6DDB"/>
    <w:rsid w:val="002057C7"/>
    <w:rsid w:val="00220706"/>
    <w:rsid w:val="00222172"/>
    <w:rsid w:val="00223104"/>
    <w:rsid w:val="00226337"/>
    <w:rsid w:val="00235C8B"/>
    <w:rsid w:val="00236590"/>
    <w:rsid w:val="00246DD3"/>
    <w:rsid w:val="00252A37"/>
    <w:rsid w:val="002751D5"/>
    <w:rsid w:val="00290A8D"/>
    <w:rsid w:val="00293BB5"/>
    <w:rsid w:val="002946AD"/>
    <w:rsid w:val="002B238E"/>
    <w:rsid w:val="002B4672"/>
    <w:rsid w:val="002C4A47"/>
    <w:rsid w:val="002D10D4"/>
    <w:rsid w:val="002E3098"/>
    <w:rsid w:val="00335EF3"/>
    <w:rsid w:val="00336722"/>
    <w:rsid w:val="00352FA8"/>
    <w:rsid w:val="003617E8"/>
    <w:rsid w:val="0038693E"/>
    <w:rsid w:val="00396D6C"/>
    <w:rsid w:val="00410321"/>
    <w:rsid w:val="00412F75"/>
    <w:rsid w:val="004251FF"/>
    <w:rsid w:val="004350E8"/>
    <w:rsid w:val="00455B65"/>
    <w:rsid w:val="00456F14"/>
    <w:rsid w:val="00476D41"/>
    <w:rsid w:val="00481EBB"/>
    <w:rsid w:val="00492946"/>
    <w:rsid w:val="004D0154"/>
    <w:rsid w:val="004D6E1B"/>
    <w:rsid w:val="004F3585"/>
    <w:rsid w:val="00510548"/>
    <w:rsid w:val="005250CC"/>
    <w:rsid w:val="0054627D"/>
    <w:rsid w:val="00573DA9"/>
    <w:rsid w:val="00585CA1"/>
    <w:rsid w:val="005A1C61"/>
    <w:rsid w:val="005A7146"/>
    <w:rsid w:val="005B1BC4"/>
    <w:rsid w:val="005B2F2B"/>
    <w:rsid w:val="005E58B9"/>
    <w:rsid w:val="005E7F40"/>
    <w:rsid w:val="005F7DB9"/>
    <w:rsid w:val="006140AE"/>
    <w:rsid w:val="00652F00"/>
    <w:rsid w:val="006743AB"/>
    <w:rsid w:val="0068703E"/>
    <w:rsid w:val="00690185"/>
    <w:rsid w:val="00692CB8"/>
    <w:rsid w:val="006A5953"/>
    <w:rsid w:val="006E27EB"/>
    <w:rsid w:val="006F0B32"/>
    <w:rsid w:val="007014CE"/>
    <w:rsid w:val="00701E6E"/>
    <w:rsid w:val="00717A96"/>
    <w:rsid w:val="00765ECA"/>
    <w:rsid w:val="00772181"/>
    <w:rsid w:val="007824EF"/>
    <w:rsid w:val="00794965"/>
    <w:rsid w:val="0079655D"/>
    <w:rsid w:val="007C566E"/>
    <w:rsid w:val="007D38DD"/>
    <w:rsid w:val="007F1463"/>
    <w:rsid w:val="008076A0"/>
    <w:rsid w:val="00811A0F"/>
    <w:rsid w:val="00822353"/>
    <w:rsid w:val="008225A5"/>
    <w:rsid w:val="00827FB1"/>
    <w:rsid w:val="00833146"/>
    <w:rsid w:val="008363E5"/>
    <w:rsid w:val="008A3740"/>
    <w:rsid w:val="008C368D"/>
    <w:rsid w:val="009074E3"/>
    <w:rsid w:val="009162FD"/>
    <w:rsid w:val="00936EDE"/>
    <w:rsid w:val="00955A10"/>
    <w:rsid w:val="0096109A"/>
    <w:rsid w:val="009630EC"/>
    <w:rsid w:val="00973755"/>
    <w:rsid w:val="009A1FD0"/>
    <w:rsid w:val="009B5D63"/>
    <w:rsid w:val="009B73E7"/>
    <w:rsid w:val="009C3847"/>
    <w:rsid w:val="009E6BE7"/>
    <w:rsid w:val="009F11DF"/>
    <w:rsid w:val="009F136E"/>
    <w:rsid w:val="009F6A37"/>
    <w:rsid w:val="00A1420F"/>
    <w:rsid w:val="00A31C8F"/>
    <w:rsid w:val="00A503D2"/>
    <w:rsid w:val="00A52DC1"/>
    <w:rsid w:val="00A53F96"/>
    <w:rsid w:val="00A617B3"/>
    <w:rsid w:val="00A723CD"/>
    <w:rsid w:val="00A92598"/>
    <w:rsid w:val="00AA2D32"/>
    <w:rsid w:val="00AC61F9"/>
    <w:rsid w:val="00AD3166"/>
    <w:rsid w:val="00B2354A"/>
    <w:rsid w:val="00B41569"/>
    <w:rsid w:val="00B80F37"/>
    <w:rsid w:val="00B87578"/>
    <w:rsid w:val="00B975A6"/>
    <w:rsid w:val="00BA21D2"/>
    <w:rsid w:val="00BA54A0"/>
    <w:rsid w:val="00BD74A9"/>
    <w:rsid w:val="00C10208"/>
    <w:rsid w:val="00C1629E"/>
    <w:rsid w:val="00C452AC"/>
    <w:rsid w:val="00C6317A"/>
    <w:rsid w:val="00C87F17"/>
    <w:rsid w:val="00CA02E6"/>
    <w:rsid w:val="00CB0E0D"/>
    <w:rsid w:val="00CC4ACB"/>
    <w:rsid w:val="00CD4D2B"/>
    <w:rsid w:val="00D00C4C"/>
    <w:rsid w:val="00D21783"/>
    <w:rsid w:val="00D24519"/>
    <w:rsid w:val="00D66E28"/>
    <w:rsid w:val="00D74D61"/>
    <w:rsid w:val="00DB0726"/>
    <w:rsid w:val="00DB1F0D"/>
    <w:rsid w:val="00DB5848"/>
    <w:rsid w:val="00DC4760"/>
    <w:rsid w:val="00DD6AB1"/>
    <w:rsid w:val="00DF5767"/>
    <w:rsid w:val="00E1105A"/>
    <w:rsid w:val="00E151F5"/>
    <w:rsid w:val="00E20569"/>
    <w:rsid w:val="00E23435"/>
    <w:rsid w:val="00E36A9F"/>
    <w:rsid w:val="00E822B1"/>
    <w:rsid w:val="00E8235A"/>
    <w:rsid w:val="00E9248D"/>
    <w:rsid w:val="00EA4C94"/>
    <w:rsid w:val="00EA7952"/>
    <w:rsid w:val="00ED1622"/>
    <w:rsid w:val="00ED7CF2"/>
    <w:rsid w:val="00EE575F"/>
    <w:rsid w:val="00EF34BD"/>
    <w:rsid w:val="00F177A9"/>
    <w:rsid w:val="00F327E8"/>
    <w:rsid w:val="00F4196A"/>
    <w:rsid w:val="00F52581"/>
    <w:rsid w:val="00F6189A"/>
    <w:rsid w:val="00F70BBF"/>
    <w:rsid w:val="00F870A5"/>
    <w:rsid w:val="00F875CC"/>
    <w:rsid w:val="00FA7DA0"/>
    <w:rsid w:val="00FB4011"/>
    <w:rsid w:val="00FE33EA"/>
    <w:rsid w:val="00FE5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F18FC0"/>
  <w15:docId w15:val="{5E6C091B-10BB-47AD-9CF5-AAE0A2B5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2FD"/>
    <w:rPr>
      <w:rFonts w:ascii="Arial" w:hAnsi="Arial" w:cs="Arial"/>
      <w:sz w:val="24"/>
      <w:szCs w:val="24"/>
    </w:rPr>
  </w:style>
  <w:style w:type="paragraph" w:styleId="Heading1">
    <w:name w:val="heading 1"/>
    <w:basedOn w:val="Normal"/>
    <w:next w:val="Normal"/>
    <w:link w:val="Heading1Char"/>
    <w:uiPriority w:val="99"/>
    <w:qFormat/>
    <w:rsid w:val="009162FD"/>
    <w:pPr>
      <w:keepNext/>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BB2"/>
    <w:rPr>
      <w:rFonts w:ascii="Cambria" w:eastAsia="Times New Roman" w:hAnsi="Cambria" w:cs="Times New Roman"/>
      <w:b/>
      <w:bCs/>
      <w:kern w:val="32"/>
      <w:sz w:val="32"/>
      <w:szCs w:val="32"/>
    </w:rPr>
  </w:style>
  <w:style w:type="character" w:styleId="Hyperlink">
    <w:name w:val="Hyperlink"/>
    <w:basedOn w:val="DefaultParagraphFont"/>
    <w:uiPriority w:val="99"/>
    <w:rsid w:val="00CD4D2B"/>
    <w:rPr>
      <w:rFonts w:cs="Times New Roman"/>
      <w:color w:val="0000FF"/>
      <w:u w:val="single"/>
    </w:rPr>
  </w:style>
  <w:style w:type="paragraph" w:styleId="Header">
    <w:name w:val="header"/>
    <w:basedOn w:val="Normal"/>
    <w:link w:val="HeaderChar"/>
    <w:uiPriority w:val="99"/>
    <w:rsid w:val="00D00C4C"/>
    <w:pPr>
      <w:tabs>
        <w:tab w:val="center" w:pos="4153"/>
        <w:tab w:val="right" w:pos="8306"/>
      </w:tabs>
    </w:pPr>
  </w:style>
  <w:style w:type="character" w:customStyle="1" w:styleId="HeaderChar">
    <w:name w:val="Header Char"/>
    <w:basedOn w:val="DefaultParagraphFont"/>
    <w:link w:val="Header"/>
    <w:uiPriority w:val="99"/>
    <w:semiHidden/>
    <w:rsid w:val="00BC5BB2"/>
    <w:rPr>
      <w:rFonts w:ascii="Arial" w:hAnsi="Arial" w:cs="Arial"/>
      <w:sz w:val="24"/>
      <w:szCs w:val="24"/>
    </w:rPr>
  </w:style>
  <w:style w:type="paragraph" w:styleId="Footer">
    <w:name w:val="footer"/>
    <w:basedOn w:val="Normal"/>
    <w:link w:val="FooterChar"/>
    <w:uiPriority w:val="99"/>
    <w:rsid w:val="00D00C4C"/>
    <w:pPr>
      <w:tabs>
        <w:tab w:val="center" w:pos="4153"/>
        <w:tab w:val="right" w:pos="8306"/>
      </w:tabs>
    </w:pPr>
  </w:style>
  <w:style w:type="character" w:customStyle="1" w:styleId="FooterChar">
    <w:name w:val="Footer Char"/>
    <w:basedOn w:val="DefaultParagraphFont"/>
    <w:link w:val="Footer"/>
    <w:uiPriority w:val="99"/>
    <w:rsid w:val="00BC5BB2"/>
    <w:rPr>
      <w:rFonts w:ascii="Arial" w:hAnsi="Arial" w:cs="Arial"/>
      <w:sz w:val="24"/>
      <w:szCs w:val="24"/>
    </w:rPr>
  </w:style>
  <w:style w:type="paragraph" w:styleId="BalloonText">
    <w:name w:val="Balloon Text"/>
    <w:basedOn w:val="Normal"/>
    <w:link w:val="BalloonTextChar"/>
    <w:uiPriority w:val="99"/>
    <w:semiHidden/>
    <w:rsid w:val="001F6DDB"/>
    <w:rPr>
      <w:rFonts w:ascii="Tahoma" w:hAnsi="Tahoma" w:cs="Tahoma"/>
      <w:sz w:val="16"/>
      <w:szCs w:val="16"/>
    </w:rPr>
  </w:style>
  <w:style w:type="character" w:customStyle="1" w:styleId="BalloonTextChar">
    <w:name w:val="Balloon Text Char"/>
    <w:basedOn w:val="DefaultParagraphFont"/>
    <w:link w:val="BalloonText"/>
    <w:uiPriority w:val="99"/>
    <w:semiHidden/>
    <w:rsid w:val="00BC5BB2"/>
    <w:rPr>
      <w:rFonts w:cs="Arial"/>
      <w:sz w:val="0"/>
      <w:szCs w:val="0"/>
    </w:rPr>
  </w:style>
  <w:style w:type="character" w:styleId="FollowedHyperlink">
    <w:name w:val="FollowedHyperlink"/>
    <w:basedOn w:val="DefaultParagraphFont"/>
    <w:uiPriority w:val="99"/>
    <w:rsid w:val="00455B65"/>
    <w:rPr>
      <w:rFonts w:cs="Times New Roman"/>
      <w:color w:val="800080"/>
      <w:u w:val="single"/>
    </w:rPr>
  </w:style>
  <w:style w:type="table" w:styleId="TableGrid">
    <w:name w:val="Table Grid"/>
    <w:basedOn w:val="TableNormal"/>
    <w:uiPriority w:val="99"/>
    <w:rsid w:val="00765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54627D"/>
    <w:rPr>
      <w:rFonts w:cs="Times New Roman"/>
      <w:sz w:val="16"/>
      <w:szCs w:val="16"/>
    </w:rPr>
  </w:style>
  <w:style w:type="paragraph" w:styleId="CommentText">
    <w:name w:val="annotation text"/>
    <w:basedOn w:val="Normal"/>
    <w:link w:val="CommentTextChar"/>
    <w:uiPriority w:val="99"/>
    <w:rsid w:val="0054627D"/>
    <w:rPr>
      <w:sz w:val="20"/>
      <w:szCs w:val="20"/>
    </w:rPr>
  </w:style>
  <w:style w:type="character" w:customStyle="1" w:styleId="CommentTextChar">
    <w:name w:val="Comment Text Char"/>
    <w:basedOn w:val="DefaultParagraphFont"/>
    <w:link w:val="CommentText"/>
    <w:uiPriority w:val="99"/>
    <w:locked/>
    <w:rsid w:val="0054627D"/>
    <w:rPr>
      <w:rFonts w:ascii="Arial" w:hAnsi="Arial" w:cs="Arial"/>
    </w:rPr>
  </w:style>
  <w:style w:type="paragraph" w:styleId="CommentSubject">
    <w:name w:val="annotation subject"/>
    <w:basedOn w:val="CommentText"/>
    <w:next w:val="CommentText"/>
    <w:link w:val="CommentSubjectChar"/>
    <w:uiPriority w:val="99"/>
    <w:rsid w:val="0054627D"/>
    <w:rPr>
      <w:b/>
      <w:bCs/>
    </w:rPr>
  </w:style>
  <w:style w:type="character" w:customStyle="1" w:styleId="CommentSubjectChar">
    <w:name w:val="Comment Subject Char"/>
    <w:basedOn w:val="CommentTextChar"/>
    <w:link w:val="CommentSubject"/>
    <w:uiPriority w:val="99"/>
    <w:locked/>
    <w:rsid w:val="0054627D"/>
    <w:rPr>
      <w:rFonts w:ascii="Arial" w:hAnsi="Arial" w:cs="Arial"/>
      <w:b/>
      <w:bCs/>
    </w:rPr>
  </w:style>
  <w:style w:type="paragraph" w:styleId="ListParagraph">
    <w:name w:val="List Paragraph"/>
    <w:basedOn w:val="Normal"/>
    <w:uiPriority w:val="34"/>
    <w:qFormat/>
    <w:rsid w:val="00936EDE"/>
    <w:pPr>
      <w:ind w:left="720"/>
      <w:contextualSpacing/>
    </w:pPr>
  </w:style>
  <w:style w:type="table" w:styleId="GridTable1Light-Accent1">
    <w:name w:val="Grid Table 1 Light Accent 1"/>
    <w:basedOn w:val="TableNormal"/>
    <w:uiPriority w:val="46"/>
    <w:rsid w:val="00E9248D"/>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353278">
      <w:bodyDiv w:val="1"/>
      <w:marLeft w:val="0"/>
      <w:marRight w:val="0"/>
      <w:marTop w:val="0"/>
      <w:marBottom w:val="0"/>
      <w:divBdr>
        <w:top w:val="none" w:sz="0" w:space="0" w:color="auto"/>
        <w:left w:val="none" w:sz="0" w:space="0" w:color="auto"/>
        <w:bottom w:val="none" w:sz="0" w:space="0" w:color="auto"/>
        <w:right w:val="none" w:sz="0" w:space="0" w:color="auto"/>
      </w:divBdr>
    </w:div>
    <w:div w:id="202933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onestbrokerservice@hscni.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F18D7-5254-4AD2-BEB4-C5C1D172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ONS Longitudinal Study</vt:lpstr>
    </vt:vector>
  </TitlesOfParts>
  <Company>O.N.S.</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ONS Longitudinal Study</dc:title>
  <dc:creator>1493979</dc:creator>
  <cp:lastModifiedBy>Rachel McKavanagh</cp:lastModifiedBy>
  <cp:revision>7</cp:revision>
  <cp:lastPrinted>2015-01-26T13:44:00Z</cp:lastPrinted>
  <dcterms:created xsi:type="dcterms:W3CDTF">2025-08-12T07:56:00Z</dcterms:created>
  <dcterms:modified xsi:type="dcterms:W3CDTF">2026-02-27T14:05:00Z</dcterms:modified>
</cp:coreProperties>
</file>