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3E9EB" w14:textId="6F7F63BC" w:rsidR="00761D53" w:rsidRPr="00135112" w:rsidRDefault="00761D53" w:rsidP="00957970">
      <w:pPr>
        <w:jc w:val="both"/>
        <w:rPr>
          <w:rFonts w:ascii="Arial" w:hAnsi="Arial" w:cs="Arial"/>
          <w:b/>
          <w:sz w:val="20"/>
          <w:szCs w:val="20"/>
        </w:rPr>
      </w:pPr>
    </w:p>
    <w:p w14:paraId="184E470A" w14:textId="77777777" w:rsidR="00E4385A" w:rsidRPr="00135112" w:rsidRDefault="00E4385A" w:rsidP="00957970">
      <w:pPr>
        <w:jc w:val="both"/>
        <w:rPr>
          <w:rFonts w:ascii="Arial" w:hAnsi="Arial" w:cs="Arial"/>
          <w:b/>
          <w:sz w:val="44"/>
          <w:szCs w:val="44"/>
        </w:rPr>
      </w:pPr>
    </w:p>
    <w:p w14:paraId="02A31077" w14:textId="77777777" w:rsidR="00E4385A" w:rsidRPr="00135112" w:rsidRDefault="00E4385A" w:rsidP="00E4385A">
      <w:pPr>
        <w:jc w:val="center"/>
        <w:rPr>
          <w:rFonts w:ascii="Arial" w:hAnsi="Arial" w:cs="Arial"/>
          <w:b/>
          <w:sz w:val="44"/>
          <w:szCs w:val="44"/>
        </w:rPr>
      </w:pPr>
    </w:p>
    <w:p w14:paraId="6471B077" w14:textId="77777777" w:rsidR="00E4385A" w:rsidRPr="00135112" w:rsidRDefault="00E4385A" w:rsidP="00E4385A">
      <w:pPr>
        <w:jc w:val="center"/>
        <w:rPr>
          <w:rFonts w:ascii="Arial" w:hAnsi="Arial" w:cs="Arial"/>
          <w:b/>
          <w:sz w:val="44"/>
          <w:szCs w:val="44"/>
        </w:rPr>
      </w:pPr>
    </w:p>
    <w:p w14:paraId="63646D13" w14:textId="44BB672B" w:rsidR="00E4385A" w:rsidRPr="00135112" w:rsidRDefault="00E4385A" w:rsidP="00E4385A">
      <w:pPr>
        <w:jc w:val="center"/>
        <w:rPr>
          <w:rFonts w:ascii="Arial" w:hAnsi="Arial" w:cs="Arial"/>
          <w:b/>
          <w:sz w:val="44"/>
          <w:szCs w:val="44"/>
        </w:rPr>
      </w:pPr>
      <w:r w:rsidRPr="00135112">
        <w:rPr>
          <w:rFonts w:ascii="Arial" w:hAnsi="Arial" w:cs="Arial"/>
          <w:b/>
          <w:sz w:val="44"/>
          <w:szCs w:val="44"/>
        </w:rPr>
        <w:t xml:space="preserve">HSC </w:t>
      </w:r>
      <w:r w:rsidR="00A64DBE" w:rsidRPr="00135112">
        <w:rPr>
          <w:rFonts w:ascii="Arial" w:hAnsi="Arial" w:cs="Arial"/>
          <w:b/>
          <w:sz w:val="44"/>
          <w:szCs w:val="44"/>
        </w:rPr>
        <w:t>Honest Broker Service</w:t>
      </w:r>
    </w:p>
    <w:p w14:paraId="05220AED" w14:textId="497B3D14" w:rsidR="00A64DBE" w:rsidRPr="00135112" w:rsidRDefault="00A64DBE" w:rsidP="00E4385A">
      <w:pPr>
        <w:jc w:val="center"/>
        <w:rPr>
          <w:rFonts w:ascii="Arial" w:hAnsi="Arial" w:cs="Arial"/>
          <w:b/>
          <w:sz w:val="44"/>
          <w:szCs w:val="44"/>
        </w:rPr>
      </w:pPr>
      <w:r w:rsidRPr="00135112">
        <w:rPr>
          <w:rFonts w:ascii="Arial" w:hAnsi="Arial" w:cs="Arial"/>
          <w:b/>
          <w:sz w:val="44"/>
          <w:szCs w:val="44"/>
        </w:rPr>
        <w:t>Charging Policy</w:t>
      </w:r>
    </w:p>
    <w:p w14:paraId="6731DCC6" w14:textId="09957411" w:rsidR="00E4385A" w:rsidRPr="00135112" w:rsidRDefault="00E4385A">
      <w:pPr>
        <w:rPr>
          <w:rFonts w:ascii="Arial" w:hAnsi="Arial" w:cs="Arial"/>
          <w:b/>
          <w:sz w:val="20"/>
          <w:szCs w:val="20"/>
        </w:rPr>
      </w:pPr>
      <w:r w:rsidRPr="00135112">
        <w:rPr>
          <w:rFonts w:ascii="Arial" w:hAnsi="Arial" w:cs="Arial"/>
          <w:b/>
          <w:sz w:val="20"/>
          <w:szCs w:val="20"/>
        </w:rPr>
        <w:br w:type="page"/>
      </w:r>
    </w:p>
    <w:p w14:paraId="459278EE" w14:textId="77777777" w:rsidR="00A64DBE" w:rsidRPr="00135112" w:rsidRDefault="00A64DBE" w:rsidP="00957970">
      <w:pPr>
        <w:jc w:val="both"/>
        <w:rPr>
          <w:rFonts w:ascii="Arial" w:hAnsi="Arial" w:cs="Arial"/>
          <w:b/>
          <w:sz w:val="20"/>
          <w:szCs w:val="20"/>
        </w:rPr>
      </w:pPr>
    </w:p>
    <w:tbl>
      <w:tblPr>
        <w:tblpPr w:leftFromText="180" w:rightFromText="180" w:vertAnchor="page" w:horzAnchor="margin" w:tblpY="2111"/>
        <w:tblW w:w="9012" w:type="dxa"/>
        <w:tblCellMar>
          <w:top w:w="15" w:type="dxa"/>
          <w:left w:w="15" w:type="dxa"/>
          <w:bottom w:w="15" w:type="dxa"/>
          <w:right w:w="15" w:type="dxa"/>
        </w:tblCellMar>
        <w:tblLook w:val="04A0" w:firstRow="1" w:lastRow="0" w:firstColumn="1" w:lastColumn="0" w:noHBand="0" w:noVBand="1"/>
      </w:tblPr>
      <w:tblGrid>
        <w:gridCol w:w="3802"/>
        <w:gridCol w:w="5210"/>
      </w:tblGrid>
      <w:tr w:rsidR="00A64DBE" w:rsidRPr="00135112" w14:paraId="35A9A9E6" w14:textId="77777777" w:rsidTr="00A20391">
        <w:trPr>
          <w:trHeight w:val="156"/>
        </w:trPr>
        <w:tc>
          <w:tcPr>
            <w:tcW w:w="3802" w:type="dxa"/>
            <w:tcBorders>
              <w:top w:val="single" w:sz="6" w:space="0" w:color="DDDDDD"/>
              <w:left w:val="single" w:sz="6" w:space="0" w:color="DDDDDD"/>
              <w:bottom w:val="single" w:sz="6" w:space="0" w:color="DDDDDD"/>
              <w:right w:val="single" w:sz="6" w:space="0" w:color="DDDDDD"/>
            </w:tcBorders>
            <w:shd w:val="clear" w:color="auto" w:fill="4BACC6" w:themeFill="accent5"/>
            <w:tcMar>
              <w:top w:w="105" w:type="dxa"/>
              <w:left w:w="150" w:type="dxa"/>
              <w:bottom w:w="105" w:type="dxa"/>
              <w:right w:w="150" w:type="dxa"/>
            </w:tcMar>
            <w:hideMark/>
          </w:tcPr>
          <w:p w14:paraId="0442B17B" w14:textId="77777777" w:rsidR="00A64DBE" w:rsidRPr="00135112" w:rsidRDefault="00A64DBE" w:rsidP="00A20391">
            <w:pPr>
              <w:jc w:val="both"/>
              <w:rPr>
                <w:rFonts w:ascii="Arial" w:hAnsi="Arial" w:cs="Arial"/>
              </w:rPr>
            </w:pPr>
            <w:r w:rsidRPr="00135112">
              <w:rPr>
                <w:rFonts w:ascii="Arial" w:hAnsi="Arial" w:cs="Arial"/>
                <w:b/>
                <w:bCs/>
              </w:rPr>
              <w:t>VERSION</w:t>
            </w:r>
          </w:p>
        </w:tc>
        <w:tc>
          <w:tcPr>
            <w:tcW w:w="52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D9F5C6E" w14:textId="4D3BBB31" w:rsidR="00A64DBE" w:rsidRPr="00135112" w:rsidRDefault="005C462B" w:rsidP="00A20391">
            <w:pPr>
              <w:jc w:val="both"/>
              <w:rPr>
                <w:rFonts w:ascii="Arial" w:hAnsi="Arial" w:cs="Arial"/>
              </w:rPr>
            </w:pPr>
            <w:r w:rsidRPr="00135112">
              <w:rPr>
                <w:rFonts w:ascii="Arial" w:hAnsi="Arial" w:cs="Arial"/>
              </w:rPr>
              <w:t>1.</w:t>
            </w:r>
            <w:r w:rsidR="00AB230D">
              <w:rPr>
                <w:rFonts w:ascii="Arial" w:hAnsi="Arial" w:cs="Arial"/>
              </w:rPr>
              <w:t>1</w:t>
            </w:r>
          </w:p>
        </w:tc>
      </w:tr>
      <w:tr w:rsidR="00A64DBE" w:rsidRPr="00135112" w14:paraId="3DC53BEC" w14:textId="77777777" w:rsidTr="00A20391">
        <w:trPr>
          <w:trHeight w:val="165"/>
        </w:trPr>
        <w:tc>
          <w:tcPr>
            <w:tcW w:w="3802" w:type="dxa"/>
            <w:tcBorders>
              <w:top w:val="single" w:sz="6" w:space="0" w:color="DDDDDD"/>
              <w:left w:val="single" w:sz="6" w:space="0" w:color="DDDDDD"/>
              <w:bottom w:val="single" w:sz="6" w:space="0" w:color="DDDDDD"/>
              <w:right w:val="single" w:sz="6" w:space="0" w:color="DDDDDD"/>
            </w:tcBorders>
            <w:shd w:val="clear" w:color="auto" w:fill="4BACC6" w:themeFill="accent5"/>
            <w:tcMar>
              <w:top w:w="105" w:type="dxa"/>
              <w:left w:w="150" w:type="dxa"/>
              <w:bottom w:w="105" w:type="dxa"/>
              <w:right w:w="150" w:type="dxa"/>
            </w:tcMar>
            <w:hideMark/>
          </w:tcPr>
          <w:p w14:paraId="48E7B066" w14:textId="77777777" w:rsidR="00A64DBE" w:rsidRPr="00135112" w:rsidRDefault="00A64DBE" w:rsidP="00A20391">
            <w:pPr>
              <w:jc w:val="both"/>
              <w:rPr>
                <w:rFonts w:ascii="Arial" w:hAnsi="Arial" w:cs="Arial"/>
              </w:rPr>
            </w:pPr>
            <w:r w:rsidRPr="00135112">
              <w:rPr>
                <w:rFonts w:ascii="Arial" w:hAnsi="Arial" w:cs="Arial"/>
                <w:b/>
                <w:bCs/>
              </w:rPr>
              <w:t>CLASSIFICATION</w:t>
            </w:r>
          </w:p>
        </w:tc>
        <w:tc>
          <w:tcPr>
            <w:tcW w:w="52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B671CB5" w14:textId="77777777" w:rsidR="00A64DBE" w:rsidRPr="00135112" w:rsidRDefault="00A64DBE" w:rsidP="00A20391">
            <w:pPr>
              <w:jc w:val="both"/>
              <w:rPr>
                <w:rFonts w:ascii="Arial" w:hAnsi="Arial" w:cs="Arial"/>
              </w:rPr>
            </w:pPr>
            <w:r w:rsidRPr="00135112">
              <w:rPr>
                <w:rFonts w:ascii="Arial" w:hAnsi="Arial" w:cs="Arial"/>
              </w:rPr>
              <w:t xml:space="preserve">Open </w:t>
            </w:r>
          </w:p>
        </w:tc>
      </w:tr>
      <w:tr w:rsidR="00A64DBE" w:rsidRPr="00135112" w14:paraId="71C97DE2" w14:textId="77777777" w:rsidTr="00A20391">
        <w:trPr>
          <w:trHeight w:val="156"/>
        </w:trPr>
        <w:tc>
          <w:tcPr>
            <w:tcW w:w="3802" w:type="dxa"/>
            <w:tcBorders>
              <w:top w:val="single" w:sz="6" w:space="0" w:color="DDDDDD"/>
              <w:left w:val="single" w:sz="6" w:space="0" w:color="DDDDDD"/>
              <w:bottom w:val="single" w:sz="6" w:space="0" w:color="DDDDDD"/>
              <w:right w:val="single" w:sz="6" w:space="0" w:color="DDDDDD"/>
            </w:tcBorders>
            <w:shd w:val="clear" w:color="auto" w:fill="4BACC6" w:themeFill="accent5"/>
            <w:tcMar>
              <w:top w:w="105" w:type="dxa"/>
              <w:left w:w="150" w:type="dxa"/>
              <w:bottom w:w="105" w:type="dxa"/>
              <w:right w:w="150" w:type="dxa"/>
            </w:tcMar>
            <w:hideMark/>
          </w:tcPr>
          <w:p w14:paraId="5298A36D" w14:textId="77777777" w:rsidR="00A64DBE" w:rsidRPr="00135112" w:rsidRDefault="00A64DBE" w:rsidP="00A20391">
            <w:pPr>
              <w:jc w:val="both"/>
              <w:rPr>
                <w:rFonts w:ascii="Arial" w:hAnsi="Arial" w:cs="Arial"/>
              </w:rPr>
            </w:pPr>
            <w:r w:rsidRPr="00135112">
              <w:rPr>
                <w:rFonts w:ascii="Arial" w:hAnsi="Arial" w:cs="Arial"/>
                <w:b/>
                <w:bCs/>
              </w:rPr>
              <w:t>OWNER</w:t>
            </w:r>
          </w:p>
        </w:tc>
        <w:tc>
          <w:tcPr>
            <w:tcW w:w="52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4C26C82" w14:textId="77777777" w:rsidR="00A64DBE" w:rsidRPr="00135112" w:rsidRDefault="00A64DBE" w:rsidP="00A20391">
            <w:pPr>
              <w:jc w:val="both"/>
              <w:rPr>
                <w:rFonts w:ascii="Arial" w:hAnsi="Arial" w:cs="Arial"/>
              </w:rPr>
            </w:pPr>
            <w:r w:rsidRPr="00135112">
              <w:rPr>
                <w:rFonts w:ascii="Arial" w:hAnsi="Arial" w:cs="Arial"/>
              </w:rPr>
              <w:t xml:space="preserve">Alan Harbinson </w:t>
            </w:r>
          </w:p>
        </w:tc>
      </w:tr>
      <w:tr w:rsidR="00A64DBE" w:rsidRPr="00135112" w14:paraId="192AE4C5" w14:textId="77777777" w:rsidTr="00A20391">
        <w:trPr>
          <w:trHeight w:val="165"/>
        </w:trPr>
        <w:tc>
          <w:tcPr>
            <w:tcW w:w="3802" w:type="dxa"/>
            <w:tcBorders>
              <w:top w:val="single" w:sz="6" w:space="0" w:color="DDDDDD"/>
              <w:left w:val="single" w:sz="6" w:space="0" w:color="DDDDDD"/>
              <w:bottom w:val="single" w:sz="6" w:space="0" w:color="DDDDDD"/>
              <w:right w:val="single" w:sz="6" w:space="0" w:color="DDDDDD"/>
            </w:tcBorders>
            <w:shd w:val="clear" w:color="auto" w:fill="4BACC6" w:themeFill="accent5"/>
            <w:tcMar>
              <w:top w:w="105" w:type="dxa"/>
              <w:left w:w="150" w:type="dxa"/>
              <w:bottom w:w="105" w:type="dxa"/>
              <w:right w:w="150" w:type="dxa"/>
            </w:tcMar>
            <w:hideMark/>
          </w:tcPr>
          <w:p w14:paraId="59EF2BF4" w14:textId="77777777" w:rsidR="00A64DBE" w:rsidRPr="00135112" w:rsidRDefault="00A64DBE" w:rsidP="00A20391">
            <w:pPr>
              <w:jc w:val="both"/>
              <w:rPr>
                <w:rFonts w:ascii="Arial" w:hAnsi="Arial" w:cs="Arial"/>
              </w:rPr>
            </w:pPr>
            <w:r w:rsidRPr="00135112">
              <w:rPr>
                <w:rFonts w:ascii="Arial" w:hAnsi="Arial" w:cs="Arial"/>
                <w:b/>
                <w:bCs/>
              </w:rPr>
              <w:t>DATE ISSUED</w:t>
            </w:r>
          </w:p>
        </w:tc>
        <w:tc>
          <w:tcPr>
            <w:tcW w:w="52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7761C5D" w14:textId="5C17767C" w:rsidR="00A64DBE" w:rsidRPr="00135112" w:rsidRDefault="00A6671C" w:rsidP="00A20391">
            <w:pPr>
              <w:jc w:val="both"/>
              <w:rPr>
                <w:rFonts w:ascii="Arial" w:hAnsi="Arial" w:cs="Arial"/>
              </w:rPr>
            </w:pPr>
            <w:r>
              <w:rPr>
                <w:rFonts w:ascii="Arial" w:hAnsi="Arial" w:cs="Arial"/>
              </w:rPr>
              <w:t>12</w:t>
            </w:r>
            <w:r w:rsidRPr="00A6671C">
              <w:rPr>
                <w:rFonts w:ascii="Arial" w:hAnsi="Arial" w:cs="Arial"/>
                <w:vertAlign w:val="superscript"/>
              </w:rPr>
              <w:t>th</w:t>
            </w:r>
            <w:r w:rsidR="003A7AE3" w:rsidRPr="00135112">
              <w:rPr>
                <w:rFonts w:ascii="Arial" w:hAnsi="Arial" w:cs="Arial"/>
              </w:rPr>
              <w:t xml:space="preserve"> </w:t>
            </w:r>
            <w:r w:rsidR="005C462B" w:rsidRPr="00135112">
              <w:rPr>
                <w:rFonts w:ascii="Arial" w:hAnsi="Arial" w:cs="Arial"/>
              </w:rPr>
              <w:t>Dec</w:t>
            </w:r>
            <w:r w:rsidR="003A7AE3" w:rsidRPr="00135112">
              <w:rPr>
                <w:rFonts w:ascii="Arial" w:hAnsi="Arial" w:cs="Arial"/>
              </w:rPr>
              <w:t>ember</w:t>
            </w:r>
            <w:r w:rsidR="00982BEB" w:rsidRPr="00135112">
              <w:rPr>
                <w:rFonts w:ascii="Arial" w:hAnsi="Arial" w:cs="Arial"/>
              </w:rPr>
              <w:t xml:space="preserve"> 2025</w:t>
            </w:r>
          </w:p>
        </w:tc>
      </w:tr>
      <w:tr w:rsidR="00A64DBE" w:rsidRPr="00135112" w14:paraId="70B68A1A" w14:textId="77777777" w:rsidTr="00A20391">
        <w:trPr>
          <w:trHeight w:val="156"/>
        </w:trPr>
        <w:tc>
          <w:tcPr>
            <w:tcW w:w="3802" w:type="dxa"/>
            <w:tcBorders>
              <w:top w:val="single" w:sz="6" w:space="0" w:color="DDDDDD"/>
              <w:left w:val="single" w:sz="6" w:space="0" w:color="DDDDDD"/>
              <w:bottom w:val="single" w:sz="6" w:space="0" w:color="DDDDDD"/>
              <w:right w:val="single" w:sz="6" w:space="0" w:color="DDDDDD"/>
            </w:tcBorders>
            <w:shd w:val="clear" w:color="auto" w:fill="4BACC6" w:themeFill="accent5"/>
            <w:tcMar>
              <w:top w:w="105" w:type="dxa"/>
              <w:left w:w="150" w:type="dxa"/>
              <w:bottom w:w="105" w:type="dxa"/>
              <w:right w:w="150" w:type="dxa"/>
            </w:tcMar>
            <w:hideMark/>
          </w:tcPr>
          <w:p w14:paraId="1D9709E6" w14:textId="77777777" w:rsidR="00A64DBE" w:rsidRPr="00135112" w:rsidRDefault="00A64DBE" w:rsidP="00A20391">
            <w:pPr>
              <w:jc w:val="both"/>
              <w:rPr>
                <w:rFonts w:ascii="Arial" w:hAnsi="Arial" w:cs="Arial"/>
              </w:rPr>
            </w:pPr>
            <w:r w:rsidRPr="00135112">
              <w:rPr>
                <w:rFonts w:ascii="Arial" w:hAnsi="Arial" w:cs="Arial"/>
                <w:b/>
                <w:bCs/>
              </w:rPr>
              <w:t>STATUS</w:t>
            </w:r>
          </w:p>
        </w:tc>
        <w:tc>
          <w:tcPr>
            <w:tcW w:w="52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6637619" w14:textId="14516E15" w:rsidR="00A64DBE" w:rsidRPr="00135112" w:rsidRDefault="005C462B" w:rsidP="00A20391">
            <w:pPr>
              <w:jc w:val="both"/>
              <w:rPr>
                <w:rFonts w:ascii="Arial" w:hAnsi="Arial" w:cs="Arial"/>
              </w:rPr>
            </w:pPr>
            <w:r w:rsidRPr="00135112">
              <w:rPr>
                <w:rFonts w:ascii="Arial" w:hAnsi="Arial" w:cs="Arial"/>
              </w:rPr>
              <w:t>Live</w:t>
            </w:r>
          </w:p>
        </w:tc>
      </w:tr>
      <w:tr w:rsidR="00A64DBE" w:rsidRPr="00135112" w14:paraId="777FE1DB" w14:textId="77777777" w:rsidTr="00A20391">
        <w:trPr>
          <w:trHeight w:val="156"/>
        </w:trPr>
        <w:tc>
          <w:tcPr>
            <w:tcW w:w="3802" w:type="dxa"/>
            <w:tcBorders>
              <w:top w:val="single" w:sz="6" w:space="0" w:color="DDDDDD"/>
              <w:left w:val="single" w:sz="6" w:space="0" w:color="DDDDDD"/>
              <w:bottom w:val="single" w:sz="6" w:space="0" w:color="DDDDDD"/>
              <w:right w:val="single" w:sz="6" w:space="0" w:color="DDDDDD"/>
            </w:tcBorders>
            <w:shd w:val="clear" w:color="auto" w:fill="4BACC6" w:themeFill="accent5"/>
            <w:tcMar>
              <w:top w:w="105" w:type="dxa"/>
              <w:left w:w="150" w:type="dxa"/>
              <w:bottom w:w="105" w:type="dxa"/>
              <w:right w:w="150" w:type="dxa"/>
            </w:tcMar>
            <w:hideMark/>
          </w:tcPr>
          <w:p w14:paraId="25DCEC4D" w14:textId="77777777" w:rsidR="00A64DBE" w:rsidRPr="00135112" w:rsidRDefault="00A64DBE" w:rsidP="00A20391">
            <w:pPr>
              <w:jc w:val="both"/>
              <w:rPr>
                <w:rFonts w:ascii="Arial" w:hAnsi="Arial" w:cs="Arial"/>
              </w:rPr>
            </w:pPr>
            <w:r w:rsidRPr="00135112">
              <w:rPr>
                <w:rFonts w:ascii="Arial" w:hAnsi="Arial" w:cs="Arial"/>
                <w:b/>
                <w:bCs/>
              </w:rPr>
              <w:t>REFERENCE</w:t>
            </w:r>
          </w:p>
        </w:tc>
        <w:tc>
          <w:tcPr>
            <w:tcW w:w="52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7620C55" w14:textId="77777777" w:rsidR="00A64DBE" w:rsidRPr="00135112" w:rsidRDefault="00A64DBE" w:rsidP="00A20391">
            <w:pPr>
              <w:jc w:val="both"/>
              <w:rPr>
                <w:rFonts w:ascii="Arial" w:hAnsi="Arial" w:cs="Arial"/>
              </w:rPr>
            </w:pPr>
            <w:r w:rsidRPr="00135112">
              <w:rPr>
                <w:rFonts w:ascii="Arial" w:hAnsi="Arial" w:cs="Arial"/>
              </w:rPr>
              <w:t xml:space="preserve">HSC Honest Broker Service Charging Policy </w:t>
            </w:r>
          </w:p>
        </w:tc>
      </w:tr>
    </w:tbl>
    <w:p w14:paraId="57D8F03A" w14:textId="77777777" w:rsidR="00640A42" w:rsidRPr="00135112" w:rsidRDefault="00640A42" w:rsidP="00640A42">
      <w:pPr>
        <w:pStyle w:val="Default"/>
        <w:jc w:val="both"/>
        <w:rPr>
          <w:rFonts w:ascii="Arial" w:hAnsi="Arial" w:cs="Arial"/>
          <w:b/>
          <w:bCs/>
          <w:sz w:val="22"/>
          <w:szCs w:val="22"/>
        </w:rPr>
      </w:pPr>
    </w:p>
    <w:p w14:paraId="3884C660" w14:textId="77777777" w:rsidR="00640A42" w:rsidRPr="00135112" w:rsidRDefault="00640A42" w:rsidP="00640A42">
      <w:pPr>
        <w:pStyle w:val="Default"/>
        <w:jc w:val="both"/>
        <w:rPr>
          <w:rFonts w:ascii="Arial" w:hAnsi="Arial" w:cs="Arial"/>
          <w:sz w:val="22"/>
          <w:szCs w:val="22"/>
        </w:rPr>
      </w:pPr>
      <w:r w:rsidRPr="00135112">
        <w:rPr>
          <w:rFonts w:ascii="Arial" w:hAnsi="Arial" w:cs="Arial"/>
          <w:b/>
          <w:bCs/>
          <w:sz w:val="22"/>
          <w:szCs w:val="22"/>
        </w:rPr>
        <w:t xml:space="preserve">Version Control </w:t>
      </w:r>
    </w:p>
    <w:tbl>
      <w:tblPr>
        <w:tblW w:w="9148" w:type="dxa"/>
        <w:tblInd w:w="-108" w:type="dxa"/>
        <w:tblBorders>
          <w:top w:val="nil"/>
          <w:left w:val="nil"/>
          <w:bottom w:val="nil"/>
          <w:right w:val="nil"/>
        </w:tblBorders>
        <w:tblLook w:val="0000" w:firstRow="0" w:lastRow="0" w:firstColumn="0" w:lastColumn="0" w:noHBand="0" w:noVBand="0"/>
      </w:tblPr>
      <w:tblGrid>
        <w:gridCol w:w="8902"/>
        <w:gridCol w:w="145"/>
        <w:gridCol w:w="80"/>
        <w:gridCol w:w="213"/>
        <w:gridCol w:w="10"/>
      </w:tblGrid>
      <w:tr w:rsidR="00640A42" w:rsidRPr="00135112" w14:paraId="16BECB2C" w14:textId="77777777" w:rsidTr="00CA6ACE">
        <w:trPr>
          <w:trHeight w:val="110"/>
        </w:trPr>
        <w:tc>
          <w:tcPr>
            <w:tcW w:w="8674" w:type="dxa"/>
          </w:tcPr>
          <w:tbl>
            <w:tblPr>
              <w:tblStyle w:val="TableGrid"/>
              <w:tblW w:w="0" w:type="auto"/>
              <w:tblLook w:val="04A0" w:firstRow="1" w:lastRow="0" w:firstColumn="1" w:lastColumn="0" w:noHBand="0" w:noVBand="1"/>
            </w:tblPr>
            <w:tblGrid>
              <w:gridCol w:w="1413"/>
              <w:gridCol w:w="1318"/>
              <w:gridCol w:w="2693"/>
              <w:gridCol w:w="2977"/>
            </w:tblGrid>
            <w:tr w:rsidR="00640A42" w:rsidRPr="00135112" w14:paraId="21FC1766" w14:textId="77777777" w:rsidTr="00E4385A">
              <w:tc>
                <w:tcPr>
                  <w:tcW w:w="1413" w:type="dxa"/>
                  <w:shd w:val="clear" w:color="auto" w:fill="4BACC6" w:themeFill="accent5"/>
                </w:tcPr>
                <w:p w14:paraId="58BB1A87" w14:textId="77777777" w:rsidR="00640A42" w:rsidRPr="00135112" w:rsidRDefault="00640A42" w:rsidP="00CA6ACE">
                  <w:pPr>
                    <w:autoSpaceDE w:val="0"/>
                    <w:autoSpaceDN w:val="0"/>
                    <w:adjustRightInd w:val="0"/>
                    <w:jc w:val="both"/>
                    <w:rPr>
                      <w:rFonts w:ascii="Arial" w:hAnsi="Arial" w:cs="Arial"/>
                      <w:color w:val="000000"/>
                    </w:rPr>
                  </w:pPr>
                  <w:r w:rsidRPr="00135112">
                    <w:rPr>
                      <w:rFonts w:ascii="Arial" w:hAnsi="Arial" w:cs="Arial"/>
                      <w:color w:val="000000"/>
                    </w:rPr>
                    <w:t>Version</w:t>
                  </w:r>
                </w:p>
              </w:tc>
              <w:tc>
                <w:tcPr>
                  <w:tcW w:w="1318" w:type="dxa"/>
                  <w:shd w:val="clear" w:color="auto" w:fill="4BACC6" w:themeFill="accent5"/>
                </w:tcPr>
                <w:p w14:paraId="1CF59C17" w14:textId="77777777" w:rsidR="00640A42" w:rsidRPr="00135112" w:rsidRDefault="00640A42" w:rsidP="00CA6ACE">
                  <w:pPr>
                    <w:autoSpaceDE w:val="0"/>
                    <w:autoSpaceDN w:val="0"/>
                    <w:adjustRightInd w:val="0"/>
                    <w:jc w:val="both"/>
                    <w:rPr>
                      <w:rFonts w:ascii="Arial" w:hAnsi="Arial" w:cs="Arial"/>
                      <w:color w:val="000000"/>
                    </w:rPr>
                  </w:pPr>
                  <w:r w:rsidRPr="00135112">
                    <w:rPr>
                      <w:rFonts w:ascii="Arial" w:hAnsi="Arial" w:cs="Arial"/>
                      <w:color w:val="000000"/>
                    </w:rPr>
                    <w:t>Date</w:t>
                  </w:r>
                </w:p>
              </w:tc>
              <w:tc>
                <w:tcPr>
                  <w:tcW w:w="2693" w:type="dxa"/>
                  <w:shd w:val="clear" w:color="auto" w:fill="4BACC6" w:themeFill="accent5"/>
                </w:tcPr>
                <w:p w14:paraId="1571D92D" w14:textId="77777777" w:rsidR="00640A42" w:rsidRPr="00135112" w:rsidRDefault="00640A42" w:rsidP="00CA6ACE">
                  <w:pPr>
                    <w:autoSpaceDE w:val="0"/>
                    <w:autoSpaceDN w:val="0"/>
                    <w:adjustRightInd w:val="0"/>
                    <w:jc w:val="both"/>
                    <w:rPr>
                      <w:rFonts w:ascii="Arial" w:hAnsi="Arial" w:cs="Arial"/>
                      <w:color w:val="000000"/>
                    </w:rPr>
                  </w:pPr>
                  <w:r w:rsidRPr="00135112">
                    <w:rPr>
                      <w:rFonts w:ascii="Arial" w:hAnsi="Arial" w:cs="Arial"/>
                      <w:color w:val="000000"/>
                    </w:rPr>
                    <w:t>Amendment</w:t>
                  </w:r>
                </w:p>
              </w:tc>
              <w:tc>
                <w:tcPr>
                  <w:tcW w:w="2977" w:type="dxa"/>
                  <w:shd w:val="clear" w:color="auto" w:fill="4BACC6" w:themeFill="accent5"/>
                </w:tcPr>
                <w:p w14:paraId="4BA55D60" w14:textId="77777777" w:rsidR="00640A42" w:rsidRPr="00135112" w:rsidRDefault="00640A42" w:rsidP="00CA6ACE">
                  <w:pPr>
                    <w:autoSpaceDE w:val="0"/>
                    <w:autoSpaceDN w:val="0"/>
                    <w:adjustRightInd w:val="0"/>
                    <w:jc w:val="both"/>
                    <w:rPr>
                      <w:rFonts w:ascii="Arial" w:hAnsi="Arial" w:cs="Arial"/>
                      <w:color w:val="000000"/>
                    </w:rPr>
                  </w:pPr>
                  <w:r w:rsidRPr="00135112">
                    <w:rPr>
                      <w:rFonts w:ascii="Arial" w:hAnsi="Arial" w:cs="Arial"/>
                      <w:color w:val="000000"/>
                    </w:rPr>
                    <w:t>Author</w:t>
                  </w:r>
                </w:p>
              </w:tc>
            </w:tr>
            <w:tr w:rsidR="00640A42" w:rsidRPr="00135112" w14:paraId="7F875157" w14:textId="77777777" w:rsidTr="00E4385A">
              <w:tc>
                <w:tcPr>
                  <w:tcW w:w="1413" w:type="dxa"/>
                </w:tcPr>
                <w:p w14:paraId="5F1A70A1" w14:textId="77777777" w:rsidR="00640A42" w:rsidRPr="00135112" w:rsidRDefault="00640A42" w:rsidP="00CA6ACE">
                  <w:pPr>
                    <w:autoSpaceDE w:val="0"/>
                    <w:autoSpaceDN w:val="0"/>
                    <w:adjustRightInd w:val="0"/>
                    <w:jc w:val="both"/>
                    <w:rPr>
                      <w:rFonts w:ascii="Arial" w:hAnsi="Arial" w:cs="Arial"/>
                      <w:color w:val="000000"/>
                    </w:rPr>
                  </w:pPr>
                  <w:r w:rsidRPr="00135112">
                    <w:rPr>
                      <w:rFonts w:ascii="Arial" w:hAnsi="Arial" w:cs="Arial"/>
                      <w:color w:val="000000"/>
                    </w:rPr>
                    <w:t>0.1</w:t>
                  </w:r>
                </w:p>
              </w:tc>
              <w:tc>
                <w:tcPr>
                  <w:tcW w:w="1318" w:type="dxa"/>
                </w:tcPr>
                <w:p w14:paraId="145FC2C2" w14:textId="14FCBBB2" w:rsidR="00640A42" w:rsidRPr="00135112" w:rsidRDefault="00E4385A" w:rsidP="00CA6ACE">
                  <w:pPr>
                    <w:autoSpaceDE w:val="0"/>
                    <w:autoSpaceDN w:val="0"/>
                    <w:adjustRightInd w:val="0"/>
                    <w:jc w:val="both"/>
                    <w:rPr>
                      <w:rFonts w:ascii="Arial" w:hAnsi="Arial" w:cs="Arial"/>
                      <w:color w:val="000000"/>
                    </w:rPr>
                  </w:pPr>
                  <w:r w:rsidRPr="00135112">
                    <w:rPr>
                      <w:rFonts w:ascii="Arial" w:hAnsi="Arial" w:cs="Arial"/>
                      <w:color w:val="000000"/>
                    </w:rPr>
                    <w:t>08/11/2023</w:t>
                  </w:r>
                </w:p>
              </w:tc>
              <w:tc>
                <w:tcPr>
                  <w:tcW w:w="2693" w:type="dxa"/>
                </w:tcPr>
                <w:p w14:paraId="38BF4007" w14:textId="68043E78" w:rsidR="00640A42" w:rsidRPr="00135112" w:rsidRDefault="00640A42" w:rsidP="00CA6ACE">
                  <w:pPr>
                    <w:autoSpaceDE w:val="0"/>
                    <w:autoSpaceDN w:val="0"/>
                    <w:adjustRightInd w:val="0"/>
                    <w:jc w:val="both"/>
                    <w:rPr>
                      <w:rFonts w:ascii="Arial" w:hAnsi="Arial" w:cs="Arial"/>
                      <w:color w:val="000000"/>
                    </w:rPr>
                  </w:pPr>
                  <w:r w:rsidRPr="00135112">
                    <w:rPr>
                      <w:rFonts w:ascii="Arial" w:hAnsi="Arial" w:cs="Arial"/>
                      <w:color w:val="000000"/>
                    </w:rPr>
                    <w:t xml:space="preserve">Initial </w:t>
                  </w:r>
                  <w:r w:rsidR="00E4385A" w:rsidRPr="00135112">
                    <w:rPr>
                      <w:rFonts w:ascii="Arial" w:hAnsi="Arial" w:cs="Arial"/>
                      <w:color w:val="000000"/>
                    </w:rPr>
                    <w:t>Draft</w:t>
                  </w:r>
                </w:p>
              </w:tc>
              <w:tc>
                <w:tcPr>
                  <w:tcW w:w="2977" w:type="dxa"/>
                </w:tcPr>
                <w:p w14:paraId="1C082530" w14:textId="77777777" w:rsidR="00640A42" w:rsidRPr="00135112" w:rsidRDefault="00640A42" w:rsidP="00CA6ACE">
                  <w:pPr>
                    <w:autoSpaceDE w:val="0"/>
                    <w:autoSpaceDN w:val="0"/>
                    <w:adjustRightInd w:val="0"/>
                    <w:jc w:val="both"/>
                    <w:rPr>
                      <w:rFonts w:ascii="Arial" w:hAnsi="Arial" w:cs="Arial"/>
                      <w:color w:val="000000"/>
                    </w:rPr>
                  </w:pPr>
                  <w:r w:rsidRPr="00135112">
                    <w:rPr>
                      <w:rFonts w:ascii="Arial" w:hAnsi="Arial" w:cs="Arial"/>
                      <w:color w:val="000000"/>
                    </w:rPr>
                    <w:t>Alan Harbinson</w:t>
                  </w:r>
                </w:p>
              </w:tc>
            </w:tr>
            <w:tr w:rsidR="00640A42" w:rsidRPr="00135112" w14:paraId="62B8B58C" w14:textId="77777777" w:rsidTr="00E4385A">
              <w:tc>
                <w:tcPr>
                  <w:tcW w:w="1413" w:type="dxa"/>
                </w:tcPr>
                <w:p w14:paraId="05486B93" w14:textId="77777777" w:rsidR="00640A42" w:rsidRPr="00135112" w:rsidRDefault="00640A42" w:rsidP="00CA6ACE">
                  <w:pPr>
                    <w:autoSpaceDE w:val="0"/>
                    <w:autoSpaceDN w:val="0"/>
                    <w:adjustRightInd w:val="0"/>
                    <w:jc w:val="both"/>
                    <w:rPr>
                      <w:rFonts w:ascii="Arial" w:hAnsi="Arial" w:cs="Arial"/>
                      <w:color w:val="000000"/>
                    </w:rPr>
                  </w:pPr>
                  <w:r w:rsidRPr="00135112">
                    <w:rPr>
                      <w:rFonts w:ascii="Arial" w:hAnsi="Arial" w:cs="Arial"/>
                      <w:color w:val="000000"/>
                    </w:rPr>
                    <w:t>0.2</w:t>
                  </w:r>
                </w:p>
              </w:tc>
              <w:tc>
                <w:tcPr>
                  <w:tcW w:w="1318" w:type="dxa"/>
                </w:tcPr>
                <w:p w14:paraId="46538858" w14:textId="690680D3" w:rsidR="00640A42" w:rsidRPr="00135112" w:rsidRDefault="00E4385A" w:rsidP="00CA6ACE">
                  <w:pPr>
                    <w:autoSpaceDE w:val="0"/>
                    <w:autoSpaceDN w:val="0"/>
                    <w:adjustRightInd w:val="0"/>
                    <w:jc w:val="both"/>
                    <w:rPr>
                      <w:rFonts w:ascii="Arial" w:hAnsi="Arial" w:cs="Arial"/>
                      <w:color w:val="000000"/>
                    </w:rPr>
                  </w:pPr>
                  <w:r w:rsidRPr="00135112">
                    <w:rPr>
                      <w:rFonts w:ascii="Arial" w:hAnsi="Arial" w:cs="Arial"/>
                      <w:color w:val="000000"/>
                    </w:rPr>
                    <w:t>06/09/202</w:t>
                  </w:r>
                  <w:r w:rsidR="00982BEB" w:rsidRPr="00135112">
                    <w:rPr>
                      <w:rFonts w:ascii="Arial" w:hAnsi="Arial" w:cs="Arial"/>
                      <w:color w:val="000000"/>
                    </w:rPr>
                    <w:t>4</w:t>
                  </w:r>
                </w:p>
              </w:tc>
              <w:tc>
                <w:tcPr>
                  <w:tcW w:w="2693" w:type="dxa"/>
                </w:tcPr>
                <w:p w14:paraId="0DA27CAD" w14:textId="6DD2AFC6" w:rsidR="00640A42" w:rsidRPr="00135112" w:rsidRDefault="00E4385A" w:rsidP="00CA6ACE">
                  <w:pPr>
                    <w:autoSpaceDE w:val="0"/>
                    <w:autoSpaceDN w:val="0"/>
                    <w:adjustRightInd w:val="0"/>
                    <w:jc w:val="both"/>
                    <w:rPr>
                      <w:rFonts w:ascii="Arial" w:hAnsi="Arial" w:cs="Arial"/>
                      <w:color w:val="000000"/>
                    </w:rPr>
                  </w:pPr>
                  <w:r w:rsidRPr="00135112">
                    <w:rPr>
                      <w:rFonts w:ascii="Arial" w:hAnsi="Arial" w:cs="Arial"/>
                      <w:color w:val="000000"/>
                    </w:rPr>
                    <w:t xml:space="preserve">Review + Update </w:t>
                  </w:r>
                  <w:r w:rsidR="00640A42" w:rsidRPr="00135112">
                    <w:rPr>
                      <w:rFonts w:ascii="Arial" w:hAnsi="Arial" w:cs="Arial"/>
                      <w:color w:val="000000"/>
                    </w:rPr>
                    <w:t xml:space="preserve"> </w:t>
                  </w:r>
                </w:p>
              </w:tc>
              <w:tc>
                <w:tcPr>
                  <w:tcW w:w="2977" w:type="dxa"/>
                </w:tcPr>
                <w:p w14:paraId="2D95B11F" w14:textId="77777777" w:rsidR="00640A42" w:rsidRPr="00135112" w:rsidRDefault="00640A42" w:rsidP="00CA6ACE">
                  <w:pPr>
                    <w:autoSpaceDE w:val="0"/>
                    <w:autoSpaceDN w:val="0"/>
                    <w:adjustRightInd w:val="0"/>
                    <w:jc w:val="both"/>
                    <w:rPr>
                      <w:rFonts w:ascii="Arial" w:hAnsi="Arial" w:cs="Arial"/>
                      <w:color w:val="000000"/>
                    </w:rPr>
                  </w:pPr>
                  <w:r w:rsidRPr="00135112">
                    <w:rPr>
                      <w:rFonts w:ascii="Arial" w:hAnsi="Arial" w:cs="Arial"/>
                      <w:color w:val="000000"/>
                    </w:rPr>
                    <w:t>Alan Harbinson</w:t>
                  </w:r>
                </w:p>
              </w:tc>
            </w:tr>
            <w:tr w:rsidR="00982BEB" w:rsidRPr="00135112" w14:paraId="1E21C245" w14:textId="77777777" w:rsidTr="00E4385A">
              <w:tc>
                <w:tcPr>
                  <w:tcW w:w="1413" w:type="dxa"/>
                </w:tcPr>
                <w:p w14:paraId="6EFEEC7D" w14:textId="6CF6D7BF" w:rsidR="00982BEB" w:rsidRPr="00135112" w:rsidRDefault="00982BEB" w:rsidP="00CA6ACE">
                  <w:pPr>
                    <w:autoSpaceDE w:val="0"/>
                    <w:autoSpaceDN w:val="0"/>
                    <w:adjustRightInd w:val="0"/>
                    <w:jc w:val="both"/>
                    <w:rPr>
                      <w:rFonts w:ascii="Arial" w:hAnsi="Arial" w:cs="Arial"/>
                      <w:color w:val="000000"/>
                    </w:rPr>
                  </w:pPr>
                  <w:r w:rsidRPr="00135112">
                    <w:rPr>
                      <w:rFonts w:ascii="Arial" w:hAnsi="Arial" w:cs="Arial"/>
                      <w:color w:val="000000"/>
                    </w:rPr>
                    <w:t>0.3</w:t>
                  </w:r>
                </w:p>
              </w:tc>
              <w:tc>
                <w:tcPr>
                  <w:tcW w:w="1318" w:type="dxa"/>
                </w:tcPr>
                <w:p w14:paraId="44C35F7C" w14:textId="624D3A9F" w:rsidR="00982BEB" w:rsidRPr="00135112" w:rsidRDefault="00982BEB" w:rsidP="00CA6ACE">
                  <w:pPr>
                    <w:autoSpaceDE w:val="0"/>
                    <w:autoSpaceDN w:val="0"/>
                    <w:adjustRightInd w:val="0"/>
                    <w:jc w:val="both"/>
                    <w:rPr>
                      <w:rFonts w:ascii="Arial" w:hAnsi="Arial" w:cs="Arial"/>
                      <w:color w:val="000000"/>
                    </w:rPr>
                  </w:pPr>
                  <w:r w:rsidRPr="00135112">
                    <w:rPr>
                      <w:rFonts w:ascii="Arial" w:hAnsi="Arial" w:cs="Arial"/>
                      <w:color w:val="000000"/>
                    </w:rPr>
                    <w:t>12/08/2025</w:t>
                  </w:r>
                </w:p>
              </w:tc>
              <w:tc>
                <w:tcPr>
                  <w:tcW w:w="2693" w:type="dxa"/>
                </w:tcPr>
                <w:p w14:paraId="1632FD6D" w14:textId="6735512C" w:rsidR="00982BEB" w:rsidRPr="00135112" w:rsidRDefault="00982BEB" w:rsidP="00CA6ACE">
                  <w:pPr>
                    <w:autoSpaceDE w:val="0"/>
                    <w:autoSpaceDN w:val="0"/>
                    <w:adjustRightInd w:val="0"/>
                    <w:jc w:val="both"/>
                    <w:rPr>
                      <w:rFonts w:ascii="Arial" w:hAnsi="Arial" w:cs="Arial"/>
                      <w:color w:val="000000"/>
                    </w:rPr>
                  </w:pPr>
                  <w:r w:rsidRPr="00135112">
                    <w:rPr>
                      <w:rFonts w:ascii="Arial" w:hAnsi="Arial" w:cs="Arial"/>
                      <w:color w:val="000000"/>
                    </w:rPr>
                    <w:t>Re-based staff costs and charging calculation</w:t>
                  </w:r>
                </w:p>
              </w:tc>
              <w:tc>
                <w:tcPr>
                  <w:tcW w:w="2977" w:type="dxa"/>
                </w:tcPr>
                <w:p w14:paraId="3D310F39" w14:textId="06D932AA" w:rsidR="00982BEB" w:rsidRPr="00135112" w:rsidRDefault="00982BEB" w:rsidP="00CA6ACE">
                  <w:pPr>
                    <w:autoSpaceDE w:val="0"/>
                    <w:autoSpaceDN w:val="0"/>
                    <w:adjustRightInd w:val="0"/>
                    <w:jc w:val="both"/>
                    <w:rPr>
                      <w:rFonts w:ascii="Arial" w:hAnsi="Arial" w:cs="Arial"/>
                      <w:color w:val="000000"/>
                    </w:rPr>
                  </w:pPr>
                  <w:r w:rsidRPr="00135112">
                    <w:rPr>
                      <w:rFonts w:ascii="Arial" w:hAnsi="Arial" w:cs="Arial"/>
                      <w:color w:val="000000"/>
                    </w:rPr>
                    <w:t>Alan Harbinson</w:t>
                  </w:r>
                </w:p>
              </w:tc>
            </w:tr>
            <w:tr w:rsidR="003A7AE3" w:rsidRPr="00135112" w14:paraId="4A5629AC" w14:textId="77777777" w:rsidTr="00E4385A">
              <w:tc>
                <w:tcPr>
                  <w:tcW w:w="1413" w:type="dxa"/>
                </w:tcPr>
                <w:p w14:paraId="1879909F" w14:textId="2A504333" w:rsidR="003A7AE3" w:rsidRPr="00135112" w:rsidRDefault="003A7AE3" w:rsidP="00CA6ACE">
                  <w:pPr>
                    <w:autoSpaceDE w:val="0"/>
                    <w:autoSpaceDN w:val="0"/>
                    <w:adjustRightInd w:val="0"/>
                    <w:jc w:val="both"/>
                    <w:rPr>
                      <w:rFonts w:ascii="Arial" w:hAnsi="Arial" w:cs="Arial"/>
                      <w:color w:val="000000"/>
                    </w:rPr>
                  </w:pPr>
                  <w:r w:rsidRPr="00135112">
                    <w:rPr>
                      <w:rFonts w:ascii="Arial" w:hAnsi="Arial" w:cs="Arial"/>
                      <w:color w:val="000000"/>
                    </w:rPr>
                    <w:t>0.4</w:t>
                  </w:r>
                </w:p>
              </w:tc>
              <w:tc>
                <w:tcPr>
                  <w:tcW w:w="1318" w:type="dxa"/>
                </w:tcPr>
                <w:p w14:paraId="0AADE9AC" w14:textId="06BF5BD8" w:rsidR="003A7AE3" w:rsidRPr="00135112" w:rsidRDefault="003A7AE3" w:rsidP="00CA6ACE">
                  <w:pPr>
                    <w:autoSpaceDE w:val="0"/>
                    <w:autoSpaceDN w:val="0"/>
                    <w:adjustRightInd w:val="0"/>
                    <w:jc w:val="both"/>
                    <w:rPr>
                      <w:rFonts w:ascii="Arial" w:hAnsi="Arial" w:cs="Arial"/>
                      <w:color w:val="000000"/>
                    </w:rPr>
                  </w:pPr>
                  <w:r w:rsidRPr="00135112">
                    <w:rPr>
                      <w:rFonts w:ascii="Arial" w:hAnsi="Arial" w:cs="Arial"/>
                      <w:color w:val="000000"/>
                    </w:rPr>
                    <w:t>08/09/2025</w:t>
                  </w:r>
                </w:p>
              </w:tc>
              <w:tc>
                <w:tcPr>
                  <w:tcW w:w="2693" w:type="dxa"/>
                </w:tcPr>
                <w:p w14:paraId="4CEA3104" w14:textId="2CDE027B" w:rsidR="003A7AE3" w:rsidRPr="00135112" w:rsidRDefault="003A7AE3" w:rsidP="00CA6ACE">
                  <w:pPr>
                    <w:autoSpaceDE w:val="0"/>
                    <w:autoSpaceDN w:val="0"/>
                    <w:adjustRightInd w:val="0"/>
                    <w:jc w:val="both"/>
                    <w:rPr>
                      <w:rFonts w:ascii="Arial" w:hAnsi="Arial" w:cs="Arial"/>
                      <w:color w:val="000000"/>
                    </w:rPr>
                  </w:pPr>
                  <w:r w:rsidRPr="00135112">
                    <w:rPr>
                      <w:rFonts w:ascii="Arial" w:hAnsi="Arial" w:cs="Arial"/>
                      <w:color w:val="000000"/>
                    </w:rPr>
                    <w:t>Appendix added with data extraction cost bandings</w:t>
                  </w:r>
                </w:p>
              </w:tc>
              <w:tc>
                <w:tcPr>
                  <w:tcW w:w="2977" w:type="dxa"/>
                </w:tcPr>
                <w:p w14:paraId="4F6755DF" w14:textId="7D705FAF" w:rsidR="003A7AE3" w:rsidRPr="00135112" w:rsidRDefault="003A7AE3" w:rsidP="00CA6ACE">
                  <w:pPr>
                    <w:autoSpaceDE w:val="0"/>
                    <w:autoSpaceDN w:val="0"/>
                    <w:adjustRightInd w:val="0"/>
                    <w:jc w:val="both"/>
                    <w:rPr>
                      <w:rFonts w:ascii="Arial" w:hAnsi="Arial" w:cs="Arial"/>
                      <w:color w:val="000000"/>
                    </w:rPr>
                  </w:pPr>
                  <w:r w:rsidRPr="00135112">
                    <w:rPr>
                      <w:rFonts w:ascii="Arial" w:hAnsi="Arial" w:cs="Arial"/>
                      <w:color w:val="000000"/>
                    </w:rPr>
                    <w:t>Alan Harbinson</w:t>
                  </w:r>
                </w:p>
              </w:tc>
            </w:tr>
            <w:tr w:rsidR="005C462B" w:rsidRPr="00135112" w14:paraId="41ED7167" w14:textId="77777777" w:rsidTr="00E4385A">
              <w:tc>
                <w:tcPr>
                  <w:tcW w:w="1413" w:type="dxa"/>
                </w:tcPr>
                <w:p w14:paraId="0B892CDC" w14:textId="75B141D2" w:rsidR="005C462B" w:rsidRPr="00135112" w:rsidRDefault="005C462B" w:rsidP="00CA6ACE">
                  <w:pPr>
                    <w:autoSpaceDE w:val="0"/>
                    <w:autoSpaceDN w:val="0"/>
                    <w:adjustRightInd w:val="0"/>
                    <w:jc w:val="both"/>
                    <w:rPr>
                      <w:rFonts w:ascii="Arial" w:hAnsi="Arial" w:cs="Arial"/>
                      <w:color w:val="000000"/>
                    </w:rPr>
                  </w:pPr>
                  <w:r w:rsidRPr="00135112">
                    <w:rPr>
                      <w:rFonts w:ascii="Arial" w:hAnsi="Arial" w:cs="Arial"/>
                      <w:color w:val="000000"/>
                    </w:rPr>
                    <w:t>1.0</w:t>
                  </w:r>
                </w:p>
              </w:tc>
              <w:tc>
                <w:tcPr>
                  <w:tcW w:w="1318" w:type="dxa"/>
                </w:tcPr>
                <w:p w14:paraId="288AA7B3" w14:textId="68265595" w:rsidR="005C462B" w:rsidRPr="00135112" w:rsidRDefault="005C462B" w:rsidP="00CA6ACE">
                  <w:pPr>
                    <w:autoSpaceDE w:val="0"/>
                    <w:autoSpaceDN w:val="0"/>
                    <w:adjustRightInd w:val="0"/>
                    <w:jc w:val="both"/>
                    <w:rPr>
                      <w:rFonts w:ascii="Arial" w:hAnsi="Arial" w:cs="Arial"/>
                      <w:color w:val="000000"/>
                    </w:rPr>
                  </w:pPr>
                  <w:r w:rsidRPr="00135112">
                    <w:rPr>
                      <w:rFonts w:ascii="Arial" w:hAnsi="Arial" w:cs="Arial"/>
                      <w:color w:val="000000"/>
                    </w:rPr>
                    <w:t>12/12/2025</w:t>
                  </w:r>
                </w:p>
              </w:tc>
              <w:tc>
                <w:tcPr>
                  <w:tcW w:w="2693" w:type="dxa"/>
                </w:tcPr>
                <w:p w14:paraId="6A504535" w14:textId="1DF35A0B" w:rsidR="005C462B" w:rsidRPr="00135112" w:rsidRDefault="005C462B" w:rsidP="00CA6ACE">
                  <w:pPr>
                    <w:autoSpaceDE w:val="0"/>
                    <w:autoSpaceDN w:val="0"/>
                    <w:adjustRightInd w:val="0"/>
                    <w:jc w:val="both"/>
                    <w:rPr>
                      <w:rFonts w:ascii="Arial" w:hAnsi="Arial" w:cs="Arial"/>
                      <w:color w:val="000000"/>
                    </w:rPr>
                  </w:pPr>
                  <w:r w:rsidRPr="00135112">
                    <w:rPr>
                      <w:rFonts w:ascii="Arial" w:hAnsi="Arial" w:cs="Arial"/>
                      <w:color w:val="000000"/>
                    </w:rPr>
                    <w:t>Final Review</w:t>
                  </w:r>
                </w:p>
              </w:tc>
              <w:tc>
                <w:tcPr>
                  <w:tcW w:w="2977" w:type="dxa"/>
                </w:tcPr>
                <w:p w14:paraId="247BF186" w14:textId="7FC58B5B" w:rsidR="005C462B" w:rsidRPr="00135112" w:rsidRDefault="005C462B" w:rsidP="00CA6ACE">
                  <w:pPr>
                    <w:autoSpaceDE w:val="0"/>
                    <w:autoSpaceDN w:val="0"/>
                    <w:adjustRightInd w:val="0"/>
                    <w:jc w:val="both"/>
                    <w:rPr>
                      <w:rFonts w:ascii="Arial" w:hAnsi="Arial" w:cs="Arial"/>
                      <w:color w:val="000000"/>
                    </w:rPr>
                  </w:pPr>
                  <w:r w:rsidRPr="00135112">
                    <w:rPr>
                      <w:rFonts w:ascii="Arial" w:hAnsi="Arial" w:cs="Arial"/>
                      <w:color w:val="000000"/>
                    </w:rPr>
                    <w:t>Alan Harbinson</w:t>
                  </w:r>
                </w:p>
              </w:tc>
            </w:tr>
            <w:tr w:rsidR="00AB230D" w:rsidRPr="00135112" w14:paraId="7F35D55E" w14:textId="77777777" w:rsidTr="00E4385A">
              <w:tc>
                <w:tcPr>
                  <w:tcW w:w="1413" w:type="dxa"/>
                </w:tcPr>
                <w:p w14:paraId="2107F9F4" w14:textId="149D1B69" w:rsidR="00AB230D" w:rsidRPr="00135112" w:rsidRDefault="00AB230D" w:rsidP="00CA6ACE">
                  <w:pPr>
                    <w:autoSpaceDE w:val="0"/>
                    <w:autoSpaceDN w:val="0"/>
                    <w:adjustRightInd w:val="0"/>
                    <w:jc w:val="both"/>
                    <w:rPr>
                      <w:rFonts w:ascii="Arial" w:hAnsi="Arial" w:cs="Arial"/>
                      <w:color w:val="000000"/>
                    </w:rPr>
                  </w:pPr>
                  <w:r>
                    <w:rPr>
                      <w:rFonts w:ascii="Arial" w:hAnsi="Arial" w:cs="Arial"/>
                      <w:color w:val="000000"/>
                    </w:rPr>
                    <w:t>1.1</w:t>
                  </w:r>
                </w:p>
              </w:tc>
              <w:tc>
                <w:tcPr>
                  <w:tcW w:w="1318" w:type="dxa"/>
                </w:tcPr>
                <w:p w14:paraId="4A0CC388" w14:textId="665B6663" w:rsidR="00AB230D" w:rsidRPr="00135112" w:rsidRDefault="00AB230D" w:rsidP="00CA6ACE">
                  <w:pPr>
                    <w:autoSpaceDE w:val="0"/>
                    <w:autoSpaceDN w:val="0"/>
                    <w:adjustRightInd w:val="0"/>
                    <w:jc w:val="both"/>
                    <w:rPr>
                      <w:rFonts w:ascii="Arial" w:hAnsi="Arial" w:cs="Arial"/>
                      <w:color w:val="000000"/>
                    </w:rPr>
                  </w:pPr>
                  <w:r>
                    <w:rPr>
                      <w:rFonts w:ascii="Arial" w:hAnsi="Arial" w:cs="Arial"/>
                      <w:color w:val="000000"/>
                    </w:rPr>
                    <w:t>06/07/2026</w:t>
                  </w:r>
                </w:p>
              </w:tc>
              <w:tc>
                <w:tcPr>
                  <w:tcW w:w="2693" w:type="dxa"/>
                </w:tcPr>
                <w:p w14:paraId="66B61398" w14:textId="3BEAEB76" w:rsidR="00AB230D" w:rsidRPr="00135112" w:rsidRDefault="00AB230D" w:rsidP="00CA6ACE">
                  <w:pPr>
                    <w:autoSpaceDE w:val="0"/>
                    <w:autoSpaceDN w:val="0"/>
                    <w:adjustRightInd w:val="0"/>
                    <w:jc w:val="both"/>
                    <w:rPr>
                      <w:rFonts w:ascii="Arial" w:hAnsi="Arial" w:cs="Arial"/>
                      <w:color w:val="000000"/>
                    </w:rPr>
                  </w:pPr>
                  <w:r w:rsidRPr="00AB230D">
                    <w:rPr>
                      <w:rFonts w:ascii="Arial" w:hAnsi="Arial" w:cs="Arial"/>
                      <w:color w:val="000000"/>
                    </w:rPr>
                    <w:t>Minor text correction.</w:t>
                  </w:r>
                </w:p>
              </w:tc>
              <w:tc>
                <w:tcPr>
                  <w:tcW w:w="2977" w:type="dxa"/>
                </w:tcPr>
                <w:p w14:paraId="721A8A3A" w14:textId="7AE24B38" w:rsidR="00AB230D" w:rsidRPr="00135112" w:rsidRDefault="00AB230D" w:rsidP="00CA6ACE">
                  <w:pPr>
                    <w:autoSpaceDE w:val="0"/>
                    <w:autoSpaceDN w:val="0"/>
                    <w:adjustRightInd w:val="0"/>
                    <w:jc w:val="both"/>
                    <w:rPr>
                      <w:rFonts w:ascii="Arial" w:hAnsi="Arial" w:cs="Arial"/>
                      <w:color w:val="000000"/>
                    </w:rPr>
                  </w:pPr>
                  <w:r>
                    <w:rPr>
                      <w:rFonts w:ascii="Arial" w:hAnsi="Arial" w:cs="Arial"/>
                      <w:color w:val="000000"/>
                    </w:rPr>
                    <w:t>Rachel McKavanagh</w:t>
                  </w:r>
                  <w:bookmarkStart w:id="0" w:name="_GoBack"/>
                  <w:bookmarkEnd w:id="0"/>
                </w:p>
              </w:tc>
            </w:tr>
          </w:tbl>
          <w:p w14:paraId="2FAC08F2" w14:textId="77777777" w:rsidR="00640A42" w:rsidRPr="00135112" w:rsidRDefault="00640A42" w:rsidP="00CA6ACE">
            <w:pPr>
              <w:autoSpaceDE w:val="0"/>
              <w:autoSpaceDN w:val="0"/>
              <w:adjustRightInd w:val="0"/>
              <w:spacing w:after="0" w:line="240" w:lineRule="auto"/>
              <w:jc w:val="both"/>
              <w:rPr>
                <w:rFonts w:ascii="Arial" w:hAnsi="Arial" w:cs="Arial"/>
                <w:color w:val="000000"/>
              </w:rPr>
            </w:pPr>
          </w:p>
        </w:tc>
        <w:tc>
          <w:tcPr>
            <w:tcW w:w="238" w:type="dxa"/>
            <w:gridSpan w:val="2"/>
          </w:tcPr>
          <w:p w14:paraId="75DFE72E" w14:textId="77777777" w:rsidR="00640A42" w:rsidRPr="00135112" w:rsidRDefault="00640A42" w:rsidP="00CA6ACE">
            <w:pPr>
              <w:autoSpaceDE w:val="0"/>
              <w:autoSpaceDN w:val="0"/>
              <w:adjustRightInd w:val="0"/>
              <w:spacing w:after="0" w:line="240" w:lineRule="auto"/>
              <w:jc w:val="both"/>
              <w:rPr>
                <w:rFonts w:ascii="Arial" w:hAnsi="Arial" w:cs="Arial"/>
                <w:color w:val="000000"/>
              </w:rPr>
            </w:pPr>
          </w:p>
        </w:tc>
        <w:tc>
          <w:tcPr>
            <w:tcW w:w="236" w:type="dxa"/>
            <w:gridSpan w:val="2"/>
          </w:tcPr>
          <w:p w14:paraId="29B4C38D" w14:textId="77777777" w:rsidR="00640A42" w:rsidRPr="00135112" w:rsidRDefault="00640A42" w:rsidP="00CA6ACE">
            <w:pPr>
              <w:autoSpaceDE w:val="0"/>
              <w:autoSpaceDN w:val="0"/>
              <w:adjustRightInd w:val="0"/>
              <w:spacing w:after="0" w:line="240" w:lineRule="auto"/>
              <w:jc w:val="both"/>
              <w:rPr>
                <w:rFonts w:ascii="Arial" w:hAnsi="Arial" w:cs="Arial"/>
                <w:color w:val="000000"/>
              </w:rPr>
            </w:pPr>
          </w:p>
        </w:tc>
      </w:tr>
      <w:tr w:rsidR="00640A42" w:rsidRPr="00135112" w14:paraId="3FEED6C5" w14:textId="77777777" w:rsidTr="00CA6ACE">
        <w:trPr>
          <w:trHeight w:val="379"/>
        </w:trPr>
        <w:tc>
          <w:tcPr>
            <w:tcW w:w="8674" w:type="dxa"/>
          </w:tcPr>
          <w:p w14:paraId="30850D62" w14:textId="77777777" w:rsidR="00640A42" w:rsidRPr="00135112" w:rsidRDefault="00640A42" w:rsidP="00CA6ACE">
            <w:pPr>
              <w:autoSpaceDE w:val="0"/>
              <w:autoSpaceDN w:val="0"/>
              <w:adjustRightInd w:val="0"/>
              <w:spacing w:after="0" w:line="240" w:lineRule="auto"/>
              <w:jc w:val="both"/>
              <w:rPr>
                <w:rFonts w:ascii="Arial" w:hAnsi="Arial" w:cs="Arial"/>
                <w:color w:val="000000"/>
              </w:rPr>
            </w:pPr>
          </w:p>
          <w:p w14:paraId="7B5F3D7E" w14:textId="77777777" w:rsidR="00640A42" w:rsidRPr="00135112" w:rsidRDefault="00640A42" w:rsidP="00CA6ACE">
            <w:pPr>
              <w:autoSpaceDE w:val="0"/>
              <w:autoSpaceDN w:val="0"/>
              <w:adjustRightInd w:val="0"/>
              <w:spacing w:after="0" w:line="240" w:lineRule="auto"/>
              <w:jc w:val="both"/>
              <w:rPr>
                <w:rFonts w:ascii="Arial" w:hAnsi="Arial" w:cs="Arial"/>
                <w:b/>
                <w:color w:val="000000"/>
              </w:rPr>
            </w:pPr>
            <w:r w:rsidRPr="00135112">
              <w:rPr>
                <w:rFonts w:ascii="Arial" w:hAnsi="Arial" w:cs="Arial"/>
                <w:b/>
                <w:color w:val="000000"/>
              </w:rPr>
              <w:t>Related Documents</w:t>
            </w:r>
          </w:p>
          <w:tbl>
            <w:tblPr>
              <w:tblStyle w:val="TableGrid"/>
              <w:tblW w:w="8784" w:type="dxa"/>
              <w:tblLook w:val="04A0" w:firstRow="1" w:lastRow="0" w:firstColumn="1" w:lastColumn="0" w:noHBand="0" w:noVBand="1"/>
            </w:tblPr>
            <w:tblGrid>
              <w:gridCol w:w="1130"/>
              <w:gridCol w:w="6132"/>
              <w:gridCol w:w="1522"/>
            </w:tblGrid>
            <w:tr w:rsidR="00640A42" w:rsidRPr="00135112" w14:paraId="15FD7D9A" w14:textId="77777777" w:rsidTr="00CA6ACE">
              <w:tc>
                <w:tcPr>
                  <w:tcW w:w="1130" w:type="dxa"/>
                  <w:shd w:val="clear" w:color="auto" w:fill="4BACC6" w:themeFill="accent5"/>
                </w:tcPr>
                <w:p w14:paraId="0FC70343" w14:textId="77777777" w:rsidR="00640A42" w:rsidRPr="00135112" w:rsidRDefault="00640A42" w:rsidP="00CA6ACE">
                  <w:pPr>
                    <w:autoSpaceDE w:val="0"/>
                    <w:autoSpaceDN w:val="0"/>
                    <w:adjustRightInd w:val="0"/>
                    <w:jc w:val="both"/>
                    <w:rPr>
                      <w:rFonts w:ascii="Arial" w:hAnsi="Arial" w:cs="Arial"/>
                      <w:color w:val="000000"/>
                    </w:rPr>
                  </w:pPr>
                  <w:r w:rsidRPr="00135112">
                    <w:rPr>
                      <w:rFonts w:ascii="Arial" w:hAnsi="Arial" w:cs="Arial"/>
                      <w:color w:val="000000"/>
                    </w:rPr>
                    <w:t>Version</w:t>
                  </w:r>
                </w:p>
              </w:tc>
              <w:tc>
                <w:tcPr>
                  <w:tcW w:w="6132" w:type="dxa"/>
                  <w:shd w:val="clear" w:color="auto" w:fill="4BACC6" w:themeFill="accent5"/>
                </w:tcPr>
                <w:p w14:paraId="60D4D7D0" w14:textId="77777777" w:rsidR="00640A42" w:rsidRPr="00135112" w:rsidRDefault="00640A42" w:rsidP="00CA6ACE">
                  <w:pPr>
                    <w:autoSpaceDE w:val="0"/>
                    <w:autoSpaceDN w:val="0"/>
                    <w:adjustRightInd w:val="0"/>
                    <w:jc w:val="both"/>
                    <w:rPr>
                      <w:rFonts w:ascii="Arial" w:hAnsi="Arial" w:cs="Arial"/>
                      <w:color w:val="000000"/>
                    </w:rPr>
                  </w:pPr>
                  <w:r w:rsidRPr="00135112">
                    <w:rPr>
                      <w:rFonts w:ascii="Arial" w:hAnsi="Arial" w:cs="Arial"/>
                      <w:color w:val="000000"/>
                    </w:rPr>
                    <w:t xml:space="preserve">Document </w:t>
                  </w:r>
                </w:p>
              </w:tc>
              <w:tc>
                <w:tcPr>
                  <w:tcW w:w="1522" w:type="dxa"/>
                  <w:shd w:val="clear" w:color="auto" w:fill="4BACC6" w:themeFill="accent5"/>
                </w:tcPr>
                <w:p w14:paraId="6068226C" w14:textId="77777777" w:rsidR="00640A42" w:rsidRPr="00135112" w:rsidRDefault="00640A42" w:rsidP="00CA6ACE">
                  <w:pPr>
                    <w:autoSpaceDE w:val="0"/>
                    <w:autoSpaceDN w:val="0"/>
                    <w:adjustRightInd w:val="0"/>
                    <w:jc w:val="both"/>
                    <w:rPr>
                      <w:rFonts w:ascii="Arial" w:hAnsi="Arial" w:cs="Arial"/>
                      <w:color w:val="000000"/>
                    </w:rPr>
                  </w:pPr>
                  <w:r w:rsidRPr="00135112">
                    <w:rPr>
                      <w:rFonts w:ascii="Arial" w:hAnsi="Arial" w:cs="Arial"/>
                      <w:color w:val="000000"/>
                    </w:rPr>
                    <w:t>Comments</w:t>
                  </w:r>
                </w:p>
              </w:tc>
            </w:tr>
            <w:tr w:rsidR="00640A42" w:rsidRPr="00135112" w14:paraId="6558A6FB" w14:textId="77777777" w:rsidTr="00CA6ACE">
              <w:tc>
                <w:tcPr>
                  <w:tcW w:w="1130" w:type="dxa"/>
                </w:tcPr>
                <w:p w14:paraId="38C833CB" w14:textId="77777777" w:rsidR="00640A42" w:rsidRPr="00135112" w:rsidRDefault="00640A42" w:rsidP="00CA6ACE">
                  <w:pPr>
                    <w:autoSpaceDE w:val="0"/>
                    <w:autoSpaceDN w:val="0"/>
                    <w:adjustRightInd w:val="0"/>
                    <w:jc w:val="both"/>
                    <w:rPr>
                      <w:rFonts w:ascii="Arial" w:hAnsi="Arial" w:cs="Arial"/>
                      <w:color w:val="000000"/>
                    </w:rPr>
                  </w:pPr>
                  <w:r w:rsidRPr="00135112">
                    <w:rPr>
                      <w:rFonts w:ascii="Arial" w:hAnsi="Arial" w:cs="Arial"/>
                      <w:color w:val="000000"/>
                    </w:rPr>
                    <w:t>1</w:t>
                  </w:r>
                </w:p>
              </w:tc>
              <w:tc>
                <w:tcPr>
                  <w:tcW w:w="6132" w:type="dxa"/>
                </w:tcPr>
                <w:p w14:paraId="7377CB15" w14:textId="77777777" w:rsidR="00640A42" w:rsidRPr="00135112" w:rsidRDefault="00640A42" w:rsidP="00CA6ACE">
                  <w:pPr>
                    <w:autoSpaceDE w:val="0"/>
                    <w:autoSpaceDN w:val="0"/>
                    <w:adjustRightInd w:val="0"/>
                    <w:jc w:val="both"/>
                    <w:rPr>
                      <w:rFonts w:ascii="Arial" w:hAnsi="Arial" w:cs="Arial"/>
                      <w:color w:val="000000"/>
                    </w:rPr>
                  </w:pPr>
                  <w:r w:rsidRPr="00135112">
                    <w:rPr>
                      <w:rFonts w:ascii="Arial" w:hAnsi="Arial" w:cs="Arial"/>
                      <w:color w:val="000000"/>
                    </w:rPr>
                    <w:t>Health and Social Care Northern Ireland Strategic Board Terms of Reference</w:t>
                  </w:r>
                </w:p>
              </w:tc>
              <w:tc>
                <w:tcPr>
                  <w:tcW w:w="1522" w:type="dxa"/>
                </w:tcPr>
                <w:p w14:paraId="55B6EAC0" w14:textId="77777777" w:rsidR="00640A42" w:rsidRPr="00135112" w:rsidRDefault="00640A42" w:rsidP="00CA6ACE">
                  <w:pPr>
                    <w:autoSpaceDE w:val="0"/>
                    <w:autoSpaceDN w:val="0"/>
                    <w:adjustRightInd w:val="0"/>
                    <w:jc w:val="both"/>
                    <w:rPr>
                      <w:rFonts w:ascii="Arial" w:hAnsi="Arial" w:cs="Arial"/>
                      <w:color w:val="000000"/>
                    </w:rPr>
                  </w:pPr>
                  <w:r w:rsidRPr="00135112">
                    <w:rPr>
                      <w:rFonts w:ascii="Arial" w:hAnsi="Arial" w:cs="Arial"/>
                      <w:color w:val="000000"/>
                    </w:rPr>
                    <w:t>Strategic Board, to which this Committee Reports</w:t>
                  </w:r>
                </w:p>
              </w:tc>
            </w:tr>
            <w:tr w:rsidR="00640A42" w:rsidRPr="00135112" w14:paraId="0A508E8C" w14:textId="77777777" w:rsidTr="00CA6ACE">
              <w:tc>
                <w:tcPr>
                  <w:tcW w:w="1130" w:type="dxa"/>
                </w:tcPr>
                <w:p w14:paraId="150AE638" w14:textId="77777777" w:rsidR="00640A42" w:rsidRPr="00135112" w:rsidRDefault="00640A42" w:rsidP="00CA6ACE">
                  <w:pPr>
                    <w:autoSpaceDE w:val="0"/>
                    <w:autoSpaceDN w:val="0"/>
                    <w:adjustRightInd w:val="0"/>
                    <w:jc w:val="both"/>
                    <w:rPr>
                      <w:rFonts w:ascii="Arial" w:hAnsi="Arial" w:cs="Arial"/>
                      <w:color w:val="000000"/>
                    </w:rPr>
                  </w:pPr>
                  <w:r w:rsidRPr="00135112">
                    <w:rPr>
                      <w:rFonts w:ascii="Arial" w:hAnsi="Arial" w:cs="Arial"/>
                      <w:color w:val="000000"/>
                    </w:rPr>
                    <w:t>4</w:t>
                  </w:r>
                </w:p>
              </w:tc>
              <w:tc>
                <w:tcPr>
                  <w:tcW w:w="6132" w:type="dxa"/>
                </w:tcPr>
                <w:p w14:paraId="5E2EAF8F" w14:textId="77777777" w:rsidR="00640A42" w:rsidRPr="00135112" w:rsidRDefault="00640A42" w:rsidP="00CA6ACE">
                  <w:pPr>
                    <w:autoSpaceDE w:val="0"/>
                    <w:autoSpaceDN w:val="0"/>
                    <w:adjustRightInd w:val="0"/>
                    <w:jc w:val="both"/>
                    <w:rPr>
                      <w:rFonts w:ascii="Arial" w:hAnsi="Arial" w:cs="Arial"/>
                      <w:color w:val="000000"/>
                    </w:rPr>
                  </w:pPr>
                  <w:r w:rsidRPr="00135112">
                    <w:rPr>
                      <w:rFonts w:ascii="Arial" w:hAnsi="Arial" w:cs="Arial"/>
                      <w:color w:val="000000"/>
                    </w:rPr>
                    <w:t>HBS Governing Board Terms of Reference</w:t>
                  </w:r>
                </w:p>
              </w:tc>
              <w:tc>
                <w:tcPr>
                  <w:tcW w:w="1522" w:type="dxa"/>
                </w:tcPr>
                <w:p w14:paraId="4011EA26" w14:textId="77777777" w:rsidR="00640A42" w:rsidRPr="00135112" w:rsidRDefault="00640A42" w:rsidP="00CA6ACE">
                  <w:pPr>
                    <w:autoSpaceDE w:val="0"/>
                    <w:autoSpaceDN w:val="0"/>
                    <w:adjustRightInd w:val="0"/>
                    <w:jc w:val="both"/>
                    <w:rPr>
                      <w:rFonts w:ascii="Arial" w:hAnsi="Arial" w:cs="Arial"/>
                      <w:color w:val="000000"/>
                    </w:rPr>
                  </w:pPr>
                  <w:r w:rsidRPr="00135112">
                    <w:rPr>
                      <w:rFonts w:ascii="Arial" w:hAnsi="Arial" w:cs="Arial"/>
                      <w:color w:val="000000"/>
                    </w:rPr>
                    <w:t>Previous TOR for this Committee</w:t>
                  </w:r>
                </w:p>
              </w:tc>
            </w:tr>
            <w:tr w:rsidR="00640A42" w:rsidRPr="00135112" w14:paraId="43BF6DD5" w14:textId="77777777" w:rsidTr="00CA6ACE">
              <w:tc>
                <w:tcPr>
                  <w:tcW w:w="1130" w:type="dxa"/>
                </w:tcPr>
                <w:p w14:paraId="4F794310" w14:textId="77777777" w:rsidR="00640A42" w:rsidRPr="00135112" w:rsidRDefault="00640A42" w:rsidP="00CA6ACE">
                  <w:pPr>
                    <w:autoSpaceDE w:val="0"/>
                    <w:autoSpaceDN w:val="0"/>
                    <w:adjustRightInd w:val="0"/>
                    <w:jc w:val="both"/>
                    <w:rPr>
                      <w:rFonts w:ascii="Arial" w:hAnsi="Arial" w:cs="Arial"/>
                      <w:color w:val="000000"/>
                    </w:rPr>
                  </w:pPr>
                  <w:r w:rsidRPr="00135112">
                    <w:rPr>
                      <w:rFonts w:ascii="Arial" w:hAnsi="Arial" w:cs="Arial"/>
                      <w:color w:val="000000"/>
                    </w:rPr>
                    <w:t>January 2021</w:t>
                  </w:r>
                </w:p>
              </w:tc>
              <w:tc>
                <w:tcPr>
                  <w:tcW w:w="6132" w:type="dxa"/>
                </w:tcPr>
                <w:p w14:paraId="7A0E8B1C" w14:textId="77777777" w:rsidR="00640A42" w:rsidRPr="00135112" w:rsidRDefault="00640A42" w:rsidP="00CA6ACE">
                  <w:pPr>
                    <w:autoSpaceDE w:val="0"/>
                    <w:autoSpaceDN w:val="0"/>
                    <w:adjustRightInd w:val="0"/>
                    <w:jc w:val="both"/>
                    <w:rPr>
                      <w:rFonts w:ascii="Arial" w:hAnsi="Arial" w:cs="Arial"/>
                      <w:color w:val="000000"/>
                    </w:rPr>
                  </w:pPr>
                  <w:r w:rsidRPr="00135112">
                    <w:rPr>
                      <w:rFonts w:ascii="Arial" w:hAnsi="Arial" w:cs="Arial"/>
                    </w:rPr>
                    <w:t>MEMORANDUM OF UNDERSTANDING (MOU) FOR AN HONEST BROKER SERVICE FOR HEALTH &amp; SOCIAL CARE INFORMATION</w:t>
                  </w:r>
                </w:p>
              </w:tc>
              <w:tc>
                <w:tcPr>
                  <w:tcW w:w="1522" w:type="dxa"/>
                </w:tcPr>
                <w:p w14:paraId="1AFBAA42" w14:textId="77777777" w:rsidR="00640A42" w:rsidRPr="00135112" w:rsidRDefault="00640A42" w:rsidP="00CA6ACE">
                  <w:pPr>
                    <w:autoSpaceDE w:val="0"/>
                    <w:autoSpaceDN w:val="0"/>
                    <w:adjustRightInd w:val="0"/>
                    <w:jc w:val="both"/>
                    <w:rPr>
                      <w:rFonts w:ascii="Arial" w:hAnsi="Arial" w:cs="Arial"/>
                      <w:color w:val="000000"/>
                    </w:rPr>
                  </w:pPr>
                  <w:r w:rsidRPr="00135112">
                    <w:rPr>
                      <w:rFonts w:ascii="Arial" w:hAnsi="Arial" w:cs="Arial"/>
                      <w:color w:val="000000"/>
                    </w:rPr>
                    <w:t>Overarching agreement relating to the operation of the HSC Honest Broker Service</w:t>
                  </w:r>
                </w:p>
              </w:tc>
            </w:tr>
            <w:tr w:rsidR="00E4385A" w:rsidRPr="00135112" w14:paraId="78D4D3FB" w14:textId="77777777" w:rsidTr="00CA6ACE">
              <w:tc>
                <w:tcPr>
                  <w:tcW w:w="1130" w:type="dxa"/>
                </w:tcPr>
                <w:p w14:paraId="71CE9B2E" w14:textId="77777777" w:rsidR="00E4385A" w:rsidRPr="00135112" w:rsidRDefault="00E4385A" w:rsidP="00CA6ACE">
                  <w:pPr>
                    <w:autoSpaceDE w:val="0"/>
                    <w:autoSpaceDN w:val="0"/>
                    <w:adjustRightInd w:val="0"/>
                    <w:jc w:val="both"/>
                    <w:rPr>
                      <w:rFonts w:ascii="Arial" w:hAnsi="Arial" w:cs="Arial"/>
                      <w:color w:val="000000"/>
                    </w:rPr>
                  </w:pPr>
                </w:p>
              </w:tc>
              <w:tc>
                <w:tcPr>
                  <w:tcW w:w="6132" w:type="dxa"/>
                </w:tcPr>
                <w:p w14:paraId="1E242335" w14:textId="2F349CA5" w:rsidR="00E4385A" w:rsidRPr="00135112" w:rsidRDefault="00E4385A" w:rsidP="00CA6ACE">
                  <w:pPr>
                    <w:autoSpaceDE w:val="0"/>
                    <w:autoSpaceDN w:val="0"/>
                    <w:adjustRightInd w:val="0"/>
                    <w:jc w:val="both"/>
                    <w:rPr>
                      <w:rFonts w:ascii="Arial" w:hAnsi="Arial" w:cs="Arial"/>
                    </w:rPr>
                  </w:pPr>
                  <w:r w:rsidRPr="00135112">
                    <w:rPr>
                      <w:rFonts w:ascii="Arial" w:hAnsi="Arial" w:cs="Arial"/>
                    </w:rPr>
                    <w:t>Honest Broker Service Disclosure Control Policy</w:t>
                  </w:r>
                </w:p>
              </w:tc>
              <w:tc>
                <w:tcPr>
                  <w:tcW w:w="1522" w:type="dxa"/>
                </w:tcPr>
                <w:p w14:paraId="6B676684" w14:textId="77777777" w:rsidR="00E4385A" w:rsidRPr="00135112" w:rsidRDefault="00E4385A" w:rsidP="00CA6ACE">
                  <w:pPr>
                    <w:autoSpaceDE w:val="0"/>
                    <w:autoSpaceDN w:val="0"/>
                    <w:adjustRightInd w:val="0"/>
                    <w:jc w:val="both"/>
                    <w:rPr>
                      <w:rFonts w:ascii="Arial" w:hAnsi="Arial" w:cs="Arial"/>
                      <w:color w:val="000000"/>
                    </w:rPr>
                  </w:pPr>
                </w:p>
              </w:tc>
            </w:tr>
          </w:tbl>
          <w:p w14:paraId="21E565A3" w14:textId="77777777" w:rsidR="00640A42" w:rsidRPr="00135112" w:rsidRDefault="00640A42" w:rsidP="00CA6ACE">
            <w:pPr>
              <w:autoSpaceDE w:val="0"/>
              <w:autoSpaceDN w:val="0"/>
              <w:adjustRightInd w:val="0"/>
              <w:spacing w:after="0" w:line="240" w:lineRule="auto"/>
              <w:jc w:val="both"/>
              <w:rPr>
                <w:rFonts w:ascii="Arial" w:hAnsi="Arial" w:cs="Arial"/>
                <w:color w:val="000000"/>
              </w:rPr>
            </w:pPr>
          </w:p>
        </w:tc>
        <w:tc>
          <w:tcPr>
            <w:tcW w:w="238" w:type="dxa"/>
            <w:gridSpan w:val="2"/>
          </w:tcPr>
          <w:p w14:paraId="7878EF36" w14:textId="77777777" w:rsidR="00640A42" w:rsidRPr="00135112" w:rsidRDefault="00640A42" w:rsidP="00CA6ACE">
            <w:pPr>
              <w:autoSpaceDE w:val="0"/>
              <w:autoSpaceDN w:val="0"/>
              <w:adjustRightInd w:val="0"/>
              <w:spacing w:after="0" w:line="240" w:lineRule="auto"/>
              <w:jc w:val="both"/>
              <w:rPr>
                <w:rFonts w:ascii="Arial" w:hAnsi="Arial" w:cs="Arial"/>
                <w:color w:val="000000"/>
              </w:rPr>
            </w:pPr>
          </w:p>
        </w:tc>
        <w:tc>
          <w:tcPr>
            <w:tcW w:w="236" w:type="dxa"/>
            <w:gridSpan w:val="2"/>
          </w:tcPr>
          <w:p w14:paraId="527DD204" w14:textId="77777777" w:rsidR="00640A42" w:rsidRPr="00135112" w:rsidRDefault="00640A42" w:rsidP="00CA6ACE">
            <w:pPr>
              <w:autoSpaceDE w:val="0"/>
              <w:autoSpaceDN w:val="0"/>
              <w:adjustRightInd w:val="0"/>
              <w:spacing w:after="0" w:line="240" w:lineRule="auto"/>
              <w:jc w:val="both"/>
              <w:rPr>
                <w:rFonts w:ascii="Arial" w:hAnsi="Arial" w:cs="Arial"/>
                <w:color w:val="000000"/>
              </w:rPr>
            </w:pPr>
          </w:p>
        </w:tc>
      </w:tr>
      <w:tr w:rsidR="00640A42" w:rsidRPr="00135112" w14:paraId="03E50B02" w14:textId="77777777" w:rsidTr="00CA6ACE">
        <w:trPr>
          <w:gridAfter w:val="1"/>
          <w:wAfter w:w="14" w:type="dxa"/>
          <w:trHeight w:val="110"/>
        </w:trPr>
        <w:tc>
          <w:tcPr>
            <w:tcW w:w="8818" w:type="dxa"/>
            <w:gridSpan w:val="2"/>
          </w:tcPr>
          <w:p w14:paraId="48B20BF2" w14:textId="77777777" w:rsidR="00640A42" w:rsidRPr="00135112" w:rsidRDefault="00640A42" w:rsidP="00CA6ACE">
            <w:pPr>
              <w:autoSpaceDE w:val="0"/>
              <w:autoSpaceDN w:val="0"/>
              <w:adjustRightInd w:val="0"/>
              <w:spacing w:after="0" w:line="240" w:lineRule="auto"/>
              <w:jc w:val="both"/>
              <w:rPr>
                <w:rFonts w:ascii="Arial" w:hAnsi="Arial" w:cs="Arial"/>
                <w:color w:val="000000"/>
              </w:rPr>
            </w:pPr>
          </w:p>
        </w:tc>
        <w:tc>
          <w:tcPr>
            <w:tcW w:w="316" w:type="dxa"/>
            <w:gridSpan w:val="2"/>
          </w:tcPr>
          <w:p w14:paraId="71812E95" w14:textId="77777777" w:rsidR="00640A42" w:rsidRPr="00135112" w:rsidRDefault="00640A42" w:rsidP="00CA6ACE">
            <w:pPr>
              <w:autoSpaceDE w:val="0"/>
              <w:autoSpaceDN w:val="0"/>
              <w:adjustRightInd w:val="0"/>
              <w:spacing w:after="0" w:line="240" w:lineRule="auto"/>
              <w:jc w:val="both"/>
              <w:rPr>
                <w:rFonts w:ascii="Arial" w:hAnsi="Arial" w:cs="Arial"/>
                <w:color w:val="000000"/>
              </w:rPr>
            </w:pPr>
          </w:p>
        </w:tc>
      </w:tr>
    </w:tbl>
    <w:p w14:paraId="2B174A57" w14:textId="77777777" w:rsidR="00982BEB" w:rsidRPr="00135112" w:rsidRDefault="00982BEB" w:rsidP="00640A42">
      <w:pPr>
        <w:autoSpaceDE w:val="0"/>
        <w:autoSpaceDN w:val="0"/>
        <w:adjustRightInd w:val="0"/>
        <w:spacing w:after="0" w:line="240" w:lineRule="auto"/>
        <w:jc w:val="both"/>
        <w:rPr>
          <w:rFonts w:ascii="Arial" w:hAnsi="Arial" w:cs="Arial"/>
          <w:b/>
          <w:color w:val="000000"/>
        </w:rPr>
      </w:pPr>
    </w:p>
    <w:p w14:paraId="07731FFB" w14:textId="77777777" w:rsidR="00982BEB" w:rsidRPr="00135112" w:rsidRDefault="00982BEB" w:rsidP="00640A42">
      <w:pPr>
        <w:autoSpaceDE w:val="0"/>
        <w:autoSpaceDN w:val="0"/>
        <w:adjustRightInd w:val="0"/>
        <w:spacing w:after="0" w:line="240" w:lineRule="auto"/>
        <w:jc w:val="both"/>
        <w:rPr>
          <w:rFonts w:ascii="Arial" w:hAnsi="Arial" w:cs="Arial"/>
          <w:b/>
          <w:color w:val="000000"/>
        </w:rPr>
      </w:pPr>
    </w:p>
    <w:p w14:paraId="69F00A75" w14:textId="77777777" w:rsidR="00982BEB" w:rsidRPr="00135112" w:rsidRDefault="00982BEB" w:rsidP="00640A42">
      <w:pPr>
        <w:autoSpaceDE w:val="0"/>
        <w:autoSpaceDN w:val="0"/>
        <w:adjustRightInd w:val="0"/>
        <w:spacing w:after="0" w:line="240" w:lineRule="auto"/>
        <w:jc w:val="both"/>
        <w:rPr>
          <w:rFonts w:ascii="Arial" w:hAnsi="Arial" w:cs="Arial"/>
          <w:b/>
          <w:color w:val="000000"/>
        </w:rPr>
      </w:pPr>
    </w:p>
    <w:p w14:paraId="53DF8640" w14:textId="77777777" w:rsidR="00982BEB" w:rsidRPr="00135112" w:rsidRDefault="00982BEB" w:rsidP="00640A42">
      <w:pPr>
        <w:autoSpaceDE w:val="0"/>
        <w:autoSpaceDN w:val="0"/>
        <w:adjustRightInd w:val="0"/>
        <w:spacing w:after="0" w:line="240" w:lineRule="auto"/>
        <w:jc w:val="both"/>
        <w:rPr>
          <w:rFonts w:ascii="Arial" w:hAnsi="Arial" w:cs="Arial"/>
          <w:b/>
          <w:color w:val="000000"/>
        </w:rPr>
      </w:pPr>
    </w:p>
    <w:p w14:paraId="22995973" w14:textId="77777777" w:rsidR="00982BEB" w:rsidRPr="00135112" w:rsidRDefault="00982BEB" w:rsidP="00640A42">
      <w:pPr>
        <w:autoSpaceDE w:val="0"/>
        <w:autoSpaceDN w:val="0"/>
        <w:adjustRightInd w:val="0"/>
        <w:spacing w:after="0" w:line="240" w:lineRule="auto"/>
        <w:jc w:val="both"/>
        <w:rPr>
          <w:rFonts w:ascii="Arial" w:hAnsi="Arial" w:cs="Arial"/>
          <w:b/>
          <w:color w:val="000000"/>
        </w:rPr>
      </w:pPr>
    </w:p>
    <w:p w14:paraId="04E40F64" w14:textId="412E26F5" w:rsidR="00640A42" w:rsidRPr="00135112" w:rsidRDefault="00640A42" w:rsidP="00640A42">
      <w:pPr>
        <w:autoSpaceDE w:val="0"/>
        <w:autoSpaceDN w:val="0"/>
        <w:adjustRightInd w:val="0"/>
        <w:spacing w:after="0" w:line="240" w:lineRule="auto"/>
        <w:jc w:val="both"/>
        <w:rPr>
          <w:rFonts w:ascii="Arial" w:hAnsi="Arial" w:cs="Arial"/>
          <w:b/>
          <w:color w:val="000000"/>
        </w:rPr>
      </w:pPr>
      <w:r w:rsidRPr="00135112">
        <w:rPr>
          <w:rFonts w:ascii="Arial" w:hAnsi="Arial" w:cs="Arial"/>
          <w:b/>
          <w:color w:val="000000"/>
        </w:rPr>
        <w:t>Document Signoff</w:t>
      </w:r>
    </w:p>
    <w:tbl>
      <w:tblPr>
        <w:tblStyle w:val="TableGrid"/>
        <w:tblW w:w="0" w:type="auto"/>
        <w:tblLook w:val="04A0" w:firstRow="1" w:lastRow="0" w:firstColumn="1" w:lastColumn="0" w:noHBand="0" w:noVBand="1"/>
      </w:tblPr>
      <w:tblGrid>
        <w:gridCol w:w="2254"/>
        <w:gridCol w:w="2254"/>
        <w:gridCol w:w="2254"/>
        <w:gridCol w:w="2254"/>
      </w:tblGrid>
      <w:tr w:rsidR="00640A42" w:rsidRPr="00135112" w14:paraId="1379DBF1" w14:textId="77777777" w:rsidTr="00CA6ACE">
        <w:tc>
          <w:tcPr>
            <w:tcW w:w="2254" w:type="dxa"/>
            <w:shd w:val="clear" w:color="auto" w:fill="4BACC6" w:themeFill="accent5"/>
          </w:tcPr>
          <w:p w14:paraId="3C2F23A1" w14:textId="77777777" w:rsidR="00640A42" w:rsidRPr="00135112" w:rsidRDefault="00640A42" w:rsidP="00CA6ACE">
            <w:pPr>
              <w:tabs>
                <w:tab w:val="left" w:pos="1741"/>
              </w:tabs>
              <w:jc w:val="both"/>
              <w:rPr>
                <w:rFonts w:ascii="Arial" w:hAnsi="Arial" w:cs="Arial"/>
              </w:rPr>
            </w:pPr>
            <w:r w:rsidRPr="00135112">
              <w:rPr>
                <w:rFonts w:ascii="Arial" w:hAnsi="Arial" w:cs="Arial"/>
              </w:rPr>
              <w:t>Name</w:t>
            </w:r>
          </w:p>
        </w:tc>
        <w:tc>
          <w:tcPr>
            <w:tcW w:w="2254" w:type="dxa"/>
            <w:shd w:val="clear" w:color="auto" w:fill="4BACC6" w:themeFill="accent5"/>
          </w:tcPr>
          <w:p w14:paraId="7776A915" w14:textId="77777777" w:rsidR="00640A42" w:rsidRPr="00135112" w:rsidRDefault="00640A42" w:rsidP="00CA6ACE">
            <w:pPr>
              <w:tabs>
                <w:tab w:val="left" w:pos="1741"/>
              </w:tabs>
              <w:jc w:val="both"/>
              <w:rPr>
                <w:rFonts w:ascii="Arial" w:hAnsi="Arial" w:cs="Arial"/>
              </w:rPr>
            </w:pPr>
            <w:r w:rsidRPr="00135112">
              <w:rPr>
                <w:rFonts w:ascii="Arial" w:hAnsi="Arial" w:cs="Arial"/>
              </w:rPr>
              <w:t>Role</w:t>
            </w:r>
          </w:p>
        </w:tc>
        <w:tc>
          <w:tcPr>
            <w:tcW w:w="2254" w:type="dxa"/>
            <w:shd w:val="clear" w:color="auto" w:fill="4BACC6" w:themeFill="accent5"/>
          </w:tcPr>
          <w:p w14:paraId="1E41836A" w14:textId="77777777" w:rsidR="00640A42" w:rsidRPr="00135112" w:rsidRDefault="00640A42" w:rsidP="00CA6ACE">
            <w:pPr>
              <w:tabs>
                <w:tab w:val="left" w:pos="1741"/>
              </w:tabs>
              <w:jc w:val="both"/>
              <w:rPr>
                <w:rFonts w:ascii="Arial" w:hAnsi="Arial" w:cs="Arial"/>
              </w:rPr>
            </w:pPr>
            <w:r w:rsidRPr="00135112">
              <w:rPr>
                <w:rFonts w:ascii="Arial" w:hAnsi="Arial" w:cs="Arial"/>
              </w:rPr>
              <w:t>Signature/E-mail Confirmation</w:t>
            </w:r>
          </w:p>
        </w:tc>
        <w:tc>
          <w:tcPr>
            <w:tcW w:w="2254" w:type="dxa"/>
            <w:shd w:val="clear" w:color="auto" w:fill="4BACC6" w:themeFill="accent5"/>
          </w:tcPr>
          <w:p w14:paraId="525B4BDA" w14:textId="77777777" w:rsidR="00640A42" w:rsidRPr="00135112" w:rsidRDefault="00640A42" w:rsidP="00CA6ACE">
            <w:pPr>
              <w:tabs>
                <w:tab w:val="left" w:pos="1741"/>
              </w:tabs>
              <w:jc w:val="both"/>
              <w:rPr>
                <w:rFonts w:ascii="Arial" w:hAnsi="Arial" w:cs="Arial"/>
              </w:rPr>
            </w:pPr>
            <w:r w:rsidRPr="00135112">
              <w:rPr>
                <w:rFonts w:ascii="Arial" w:hAnsi="Arial" w:cs="Arial"/>
              </w:rPr>
              <w:t>Date</w:t>
            </w:r>
          </w:p>
        </w:tc>
      </w:tr>
      <w:tr w:rsidR="00640A42" w:rsidRPr="00135112" w14:paraId="0F986CA5" w14:textId="77777777" w:rsidTr="00CA6ACE">
        <w:tc>
          <w:tcPr>
            <w:tcW w:w="2254" w:type="dxa"/>
          </w:tcPr>
          <w:p w14:paraId="44F755B0" w14:textId="2E6B601C" w:rsidR="00640A42" w:rsidRPr="00135112" w:rsidRDefault="00936101" w:rsidP="00CA6ACE">
            <w:pPr>
              <w:tabs>
                <w:tab w:val="left" w:pos="1741"/>
              </w:tabs>
              <w:jc w:val="both"/>
              <w:rPr>
                <w:rFonts w:ascii="Arial" w:hAnsi="Arial" w:cs="Arial"/>
              </w:rPr>
            </w:pPr>
            <w:r w:rsidRPr="00135112">
              <w:rPr>
                <w:rFonts w:ascii="Arial" w:hAnsi="Arial" w:cs="Arial"/>
              </w:rPr>
              <w:t>Alan Harbinson</w:t>
            </w:r>
          </w:p>
        </w:tc>
        <w:tc>
          <w:tcPr>
            <w:tcW w:w="2254" w:type="dxa"/>
          </w:tcPr>
          <w:p w14:paraId="5F9F100F" w14:textId="25D170A7" w:rsidR="00640A42" w:rsidRPr="00135112" w:rsidRDefault="00936101" w:rsidP="00CA6ACE">
            <w:pPr>
              <w:tabs>
                <w:tab w:val="left" w:pos="1741"/>
              </w:tabs>
              <w:jc w:val="both"/>
              <w:rPr>
                <w:rFonts w:ascii="Arial" w:hAnsi="Arial" w:cs="Arial"/>
              </w:rPr>
            </w:pPr>
            <w:r w:rsidRPr="00135112">
              <w:rPr>
                <w:rFonts w:ascii="Arial" w:hAnsi="Arial" w:cs="Arial"/>
              </w:rPr>
              <w:t>Head of Honest Broker Advice Service</w:t>
            </w:r>
          </w:p>
        </w:tc>
        <w:tc>
          <w:tcPr>
            <w:tcW w:w="2254" w:type="dxa"/>
          </w:tcPr>
          <w:p w14:paraId="74380875" w14:textId="77777777" w:rsidR="00640A42" w:rsidRPr="00135112" w:rsidRDefault="00640A42" w:rsidP="00CA6ACE">
            <w:pPr>
              <w:tabs>
                <w:tab w:val="left" w:pos="1741"/>
              </w:tabs>
              <w:jc w:val="both"/>
              <w:rPr>
                <w:rFonts w:ascii="Arial" w:hAnsi="Arial" w:cs="Arial"/>
              </w:rPr>
            </w:pPr>
          </w:p>
        </w:tc>
        <w:tc>
          <w:tcPr>
            <w:tcW w:w="2254" w:type="dxa"/>
          </w:tcPr>
          <w:p w14:paraId="24A957C2" w14:textId="3D3A7864" w:rsidR="00640A42" w:rsidRPr="00135112" w:rsidRDefault="005C462B" w:rsidP="00CA6ACE">
            <w:pPr>
              <w:tabs>
                <w:tab w:val="left" w:pos="1741"/>
              </w:tabs>
              <w:jc w:val="both"/>
              <w:rPr>
                <w:rFonts w:ascii="Arial" w:hAnsi="Arial" w:cs="Arial"/>
              </w:rPr>
            </w:pPr>
            <w:r w:rsidRPr="00135112">
              <w:rPr>
                <w:rFonts w:ascii="Arial" w:hAnsi="Arial" w:cs="Arial"/>
              </w:rPr>
              <w:t>12/12/2025</w:t>
            </w:r>
          </w:p>
        </w:tc>
      </w:tr>
    </w:tbl>
    <w:p w14:paraId="543AEE90" w14:textId="77777777" w:rsidR="00E4385A" w:rsidRPr="00135112" w:rsidRDefault="00E4385A" w:rsidP="00957970">
      <w:pPr>
        <w:jc w:val="both"/>
        <w:rPr>
          <w:rFonts w:ascii="Arial" w:hAnsi="Arial" w:cs="Arial"/>
          <w:b/>
          <w:sz w:val="20"/>
          <w:szCs w:val="20"/>
        </w:rPr>
      </w:pPr>
    </w:p>
    <w:p w14:paraId="62C5CF4E" w14:textId="106A2C87" w:rsidR="00397342" w:rsidRPr="00135112" w:rsidRDefault="00F21F8C" w:rsidP="00957970">
      <w:pPr>
        <w:jc w:val="both"/>
        <w:rPr>
          <w:rFonts w:ascii="Arial" w:hAnsi="Arial" w:cs="Arial"/>
          <w:b/>
          <w:sz w:val="20"/>
          <w:szCs w:val="20"/>
        </w:rPr>
      </w:pPr>
      <w:r w:rsidRPr="00135112">
        <w:rPr>
          <w:rFonts w:ascii="Arial" w:hAnsi="Arial" w:cs="Arial"/>
          <w:b/>
          <w:sz w:val="20"/>
          <w:szCs w:val="20"/>
        </w:rPr>
        <w:t>Over</w:t>
      </w:r>
      <w:r w:rsidR="00957970" w:rsidRPr="00135112">
        <w:rPr>
          <w:rFonts w:ascii="Arial" w:hAnsi="Arial" w:cs="Arial"/>
          <w:b/>
          <w:sz w:val="20"/>
          <w:szCs w:val="20"/>
        </w:rPr>
        <w:t>v</w:t>
      </w:r>
      <w:r w:rsidRPr="00135112">
        <w:rPr>
          <w:rFonts w:ascii="Arial" w:hAnsi="Arial" w:cs="Arial"/>
          <w:b/>
          <w:sz w:val="20"/>
          <w:szCs w:val="20"/>
        </w:rPr>
        <w:t>iew</w:t>
      </w:r>
    </w:p>
    <w:p w14:paraId="59AED60D" w14:textId="77777777" w:rsidR="00957970" w:rsidRPr="00135112" w:rsidRDefault="00397342" w:rsidP="00957970">
      <w:pPr>
        <w:pStyle w:val="ListParagraph"/>
        <w:numPr>
          <w:ilvl w:val="0"/>
          <w:numId w:val="1"/>
        </w:numPr>
        <w:ind w:left="142"/>
        <w:jc w:val="both"/>
        <w:rPr>
          <w:rFonts w:ascii="Arial" w:hAnsi="Arial" w:cs="Arial"/>
          <w:sz w:val="20"/>
          <w:szCs w:val="20"/>
        </w:rPr>
      </w:pPr>
      <w:r w:rsidRPr="00135112">
        <w:rPr>
          <w:rFonts w:ascii="Arial" w:hAnsi="Arial" w:cs="Arial"/>
          <w:sz w:val="20"/>
          <w:szCs w:val="20"/>
        </w:rPr>
        <w:t>This document sets out the underpinning principles for the charging policy for the Honest Broker Service. It provides a guide to how projects are costed, however to work out estimated costs for an actual project you should engage with the Honest Broker Service team</w:t>
      </w:r>
      <w:r w:rsidR="00957970" w:rsidRPr="00135112">
        <w:rPr>
          <w:rFonts w:ascii="Arial" w:hAnsi="Arial" w:cs="Arial"/>
          <w:sz w:val="20"/>
          <w:szCs w:val="20"/>
        </w:rPr>
        <w:t>.</w:t>
      </w:r>
    </w:p>
    <w:p w14:paraId="23568E16" w14:textId="77777777" w:rsidR="00957970" w:rsidRPr="00135112" w:rsidRDefault="00957970" w:rsidP="00957970">
      <w:pPr>
        <w:pStyle w:val="ListParagraph"/>
        <w:ind w:left="142"/>
        <w:jc w:val="both"/>
        <w:rPr>
          <w:rFonts w:ascii="Arial" w:hAnsi="Arial" w:cs="Arial"/>
          <w:sz w:val="20"/>
          <w:szCs w:val="20"/>
        </w:rPr>
      </w:pPr>
    </w:p>
    <w:p w14:paraId="4A95A1E8" w14:textId="77777777" w:rsidR="00957970" w:rsidRPr="00135112" w:rsidRDefault="00957970" w:rsidP="00957970">
      <w:pPr>
        <w:pStyle w:val="ListParagraph"/>
        <w:numPr>
          <w:ilvl w:val="0"/>
          <w:numId w:val="1"/>
        </w:numPr>
        <w:ind w:left="142"/>
        <w:jc w:val="both"/>
        <w:rPr>
          <w:rFonts w:ascii="Arial" w:hAnsi="Arial" w:cs="Arial"/>
          <w:sz w:val="20"/>
          <w:szCs w:val="20"/>
        </w:rPr>
      </w:pPr>
      <w:r w:rsidRPr="00135112">
        <w:rPr>
          <w:rFonts w:ascii="Arial" w:hAnsi="Arial" w:cs="Arial"/>
          <w:sz w:val="20"/>
          <w:szCs w:val="20"/>
        </w:rPr>
        <w:t xml:space="preserve">Costs will be confirmed during the application stage and formally agreed before processing work continues. </w:t>
      </w:r>
    </w:p>
    <w:p w14:paraId="697118CC" w14:textId="77777777" w:rsidR="00957970" w:rsidRPr="00135112" w:rsidRDefault="00957970" w:rsidP="00957970">
      <w:pPr>
        <w:pStyle w:val="ListParagraph"/>
        <w:ind w:left="142"/>
        <w:jc w:val="both"/>
        <w:rPr>
          <w:rFonts w:ascii="Arial" w:hAnsi="Arial" w:cs="Arial"/>
          <w:sz w:val="20"/>
          <w:szCs w:val="20"/>
        </w:rPr>
      </w:pPr>
    </w:p>
    <w:p w14:paraId="32D129F2" w14:textId="77777777" w:rsidR="00755BC3" w:rsidRPr="00135112" w:rsidRDefault="00755BC3" w:rsidP="00957970">
      <w:pPr>
        <w:pStyle w:val="ListParagraph"/>
        <w:numPr>
          <w:ilvl w:val="0"/>
          <w:numId w:val="1"/>
        </w:numPr>
        <w:ind w:left="142"/>
        <w:jc w:val="both"/>
        <w:rPr>
          <w:rFonts w:ascii="Arial" w:hAnsi="Arial" w:cs="Arial"/>
          <w:sz w:val="20"/>
          <w:szCs w:val="20"/>
        </w:rPr>
      </w:pPr>
      <w:r w:rsidRPr="00135112">
        <w:rPr>
          <w:rFonts w:ascii="Arial" w:hAnsi="Arial" w:cs="Arial"/>
          <w:sz w:val="20"/>
          <w:szCs w:val="20"/>
        </w:rPr>
        <w:t>For more details on the Honest Broker Service including the type of data available, how to apply and how to contact the service please see below.</w:t>
      </w:r>
    </w:p>
    <w:p w14:paraId="09D99614" w14:textId="370599D0" w:rsidR="00E4385A" w:rsidRPr="00135112" w:rsidRDefault="00AB230D" w:rsidP="00957970">
      <w:pPr>
        <w:jc w:val="both"/>
        <w:rPr>
          <w:rFonts w:ascii="Arial" w:hAnsi="Arial" w:cs="Arial"/>
          <w:color w:val="0000FF"/>
          <w:sz w:val="20"/>
          <w:szCs w:val="20"/>
          <w:u w:val="single"/>
        </w:rPr>
      </w:pPr>
      <w:hyperlink r:id="rId7" w:history="1">
        <w:r w:rsidR="00E4385A" w:rsidRPr="00135112">
          <w:rPr>
            <w:rStyle w:val="Hyperlink"/>
            <w:rFonts w:ascii="Arial" w:hAnsi="Arial" w:cs="Arial"/>
          </w:rPr>
          <w:t>Honest Broker Service - Business Services Organisation (BSO) Website (hscni.net)</w:t>
        </w:r>
      </w:hyperlink>
    </w:p>
    <w:p w14:paraId="2AE244EC" w14:textId="77777777" w:rsidR="00755BC3" w:rsidRPr="00135112" w:rsidRDefault="00F21F8C" w:rsidP="00957970">
      <w:pPr>
        <w:jc w:val="both"/>
        <w:rPr>
          <w:rFonts w:ascii="Arial" w:hAnsi="Arial" w:cs="Arial"/>
          <w:b/>
          <w:sz w:val="20"/>
          <w:szCs w:val="20"/>
        </w:rPr>
      </w:pPr>
      <w:r w:rsidRPr="00135112">
        <w:rPr>
          <w:rFonts w:ascii="Arial" w:hAnsi="Arial" w:cs="Arial"/>
          <w:b/>
          <w:sz w:val="20"/>
          <w:szCs w:val="20"/>
        </w:rPr>
        <w:t>Policy</w:t>
      </w:r>
    </w:p>
    <w:p w14:paraId="457AD791" w14:textId="77777777" w:rsidR="00957970" w:rsidRPr="00135112" w:rsidRDefault="00F21F8C" w:rsidP="00957970">
      <w:pPr>
        <w:pStyle w:val="ListParagraph"/>
        <w:numPr>
          <w:ilvl w:val="0"/>
          <w:numId w:val="1"/>
        </w:numPr>
        <w:ind w:left="142"/>
        <w:jc w:val="both"/>
        <w:rPr>
          <w:rFonts w:ascii="Arial" w:hAnsi="Arial" w:cs="Arial"/>
          <w:sz w:val="20"/>
          <w:szCs w:val="20"/>
        </w:rPr>
      </w:pPr>
      <w:r w:rsidRPr="00135112">
        <w:rPr>
          <w:rFonts w:ascii="Arial" w:hAnsi="Arial" w:cs="Arial"/>
          <w:sz w:val="20"/>
          <w:szCs w:val="20"/>
        </w:rPr>
        <w:t>The Honest Broker Service is the Secure Data Environment/Trusted Research Environment for Health and Social Care Northern Ireland. It is based within the HSC Business Services Organisation and provides access to de-identified healthcare records for research, clinical audit and service improvement.</w:t>
      </w:r>
    </w:p>
    <w:p w14:paraId="14ACBA9B" w14:textId="77777777" w:rsidR="00957970" w:rsidRPr="00135112" w:rsidRDefault="00957970" w:rsidP="00957970">
      <w:pPr>
        <w:pStyle w:val="ListParagraph"/>
        <w:ind w:left="142"/>
        <w:jc w:val="both"/>
        <w:rPr>
          <w:rFonts w:ascii="Arial" w:hAnsi="Arial" w:cs="Arial"/>
          <w:sz w:val="20"/>
          <w:szCs w:val="20"/>
        </w:rPr>
      </w:pPr>
    </w:p>
    <w:p w14:paraId="417F997C" w14:textId="77777777" w:rsidR="00957970" w:rsidRPr="00135112" w:rsidRDefault="00F21F8C" w:rsidP="00957970">
      <w:pPr>
        <w:pStyle w:val="ListParagraph"/>
        <w:numPr>
          <w:ilvl w:val="0"/>
          <w:numId w:val="1"/>
        </w:numPr>
        <w:ind w:left="142"/>
        <w:jc w:val="both"/>
        <w:rPr>
          <w:rFonts w:ascii="Arial" w:hAnsi="Arial" w:cs="Arial"/>
          <w:sz w:val="20"/>
          <w:szCs w:val="20"/>
        </w:rPr>
      </w:pPr>
      <w:r w:rsidRPr="00135112">
        <w:rPr>
          <w:rFonts w:ascii="Arial" w:hAnsi="Arial" w:cs="Arial"/>
          <w:sz w:val="20"/>
          <w:szCs w:val="20"/>
        </w:rPr>
        <w:t>The following principles apply in relation to charging for access to data via the Honest Broker Service</w:t>
      </w:r>
      <w:r w:rsidR="00957970" w:rsidRPr="00135112">
        <w:rPr>
          <w:rFonts w:ascii="Arial" w:hAnsi="Arial" w:cs="Arial"/>
          <w:sz w:val="20"/>
          <w:szCs w:val="20"/>
        </w:rPr>
        <w:t>:</w:t>
      </w:r>
    </w:p>
    <w:p w14:paraId="57300755" w14:textId="77777777" w:rsidR="00957970" w:rsidRPr="00135112" w:rsidRDefault="00957970" w:rsidP="00957970">
      <w:pPr>
        <w:pStyle w:val="ListParagraph"/>
        <w:jc w:val="both"/>
        <w:rPr>
          <w:rFonts w:ascii="Arial" w:hAnsi="Arial" w:cs="Arial"/>
          <w:sz w:val="20"/>
          <w:szCs w:val="20"/>
        </w:rPr>
      </w:pPr>
    </w:p>
    <w:p w14:paraId="6896272F" w14:textId="77777777" w:rsidR="00957970" w:rsidRPr="00135112" w:rsidRDefault="00F21F8C" w:rsidP="00957970">
      <w:pPr>
        <w:pStyle w:val="ListParagraph"/>
        <w:numPr>
          <w:ilvl w:val="1"/>
          <w:numId w:val="1"/>
        </w:numPr>
        <w:ind w:left="567"/>
        <w:jc w:val="both"/>
        <w:rPr>
          <w:rFonts w:ascii="Arial" w:hAnsi="Arial" w:cs="Arial"/>
          <w:sz w:val="20"/>
          <w:szCs w:val="20"/>
        </w:rPr>
      </w:pPr>
      <w:r w:rsidRPr="00135112">
        <w:rPr>
          <w:rFonts w:ascii="Arial" w:hAnsi="Arial" w:cs="Arial"/>
          <w:sz w:val="20"/>
          <w:szCs w:val="20"/>
        </w:rPr>
        <w:t xml:space="preserve">Charges are calculated on a cost recovery </w:t>
      </w:r>
      <w:r w:rsidR="00957970" w:rsidRPr="00135112">
        <w:rPr>
          <w:rFonts w:ascii="Arial" w:hAnsi="Arial" w:cs="Arial"/>
          <w:sz w:val="20"/>
          <w:szCs w:val="20"/>
        </w:rPr>
        <w:t>basis;</w:t>
      </w:r>
      <w:r w:rsidRPr="00135112">
        <w:rPr>
          <w:rFonts w:ascii="Arial" w:hAnsi="Arial" w:cs="Arial"/>
          <w:sz w:val="20"/>
          <w:szCs w:val="20"/>
        </w:rPr>
        <w:t xml:space="preserve"> the Honest Broker Service does not make a profit and is not a commercial entity.</w:t>
      </w:r>
    </w:p>
    <w:p w14:paraId="636A3813" w14:textId="77777777" w:rsidR="00957970" w:rsidRPr="00135112" w:rsidRDefault="00F21F8C" w:rsidP="00957970">
      <w:pPr>
        <w:pStyle w:val="ListParagraph"/>
        <w:numPr>
          <w:ilvl w:val="1"/>
          <w:numId w:val="1"/>
        </w:numPr>
        <w:ind w:left="567"/>
        <w:jc w:val="both"/>
        <w:rPr>
          <w:rFonts w:ascii="Arial" w:hAnsi="Arial" w:cs="Arial"/>
          <w:sz w:val="20"/>
          <w:szCs w:val="20"/>
        </w:rPr>
      </w:pPr>
      <w:r w:rsidRPr="00135112">
        <w:rPr>
          <w:rFonts w:ascii="Arial" w:hAnsi="Arial" w:cs="Arial"/>
          <w:sz w:val="20"/>
          <w:szCs w:val="20"/>
        </w:rPr>
        <w:t>If approval is not obtained for a project, then no charge is incurred.</w:t>
      </w:r>
    </w:p>
    <w:p w14:paraId="06DE8300" w14:textId="5FE26DFF" w:rsidR="00D674F1" w:rsidRPr="00135112" w:rsidRDefault="004E1F64" w:rsidP="00957970">
      <w:pPr>
        <w:pStyle w:val="ListParagraph"/>
        <w:numPr>
          <w:ilvl w:val="1"/>
          <w:numId w:val="1"/>
        </w:numPr>
        <w:ind w:left="567"/>
        <w:jc w:val="both"/>
        <w:rPr>
          <w:rFonts w:ascii="Arial" w:hAnsi="Arial" w:cs="Arial"/>
          <w:sz w:val="20"/>
          <w:szCs w:val="20"/>
        </w:rPr>
      </w:pPr>
      <w:r w:rsidRPr="00135112">
        <w:rPr>
          <w:rFonts w:ascii="Arial" w:hAnsi="Arial" w:cs="Arial"/>
          <w:sz w:val="20"/>
          <w:szCs w:val="20"/>
        </w:rPr>
        <w:t>T</w:t>
      </w:r>
      <w:r w:rsidR="00D674F1" w:rsidRPr="00135112">
        <w:rPr>
          <w:rFonts w:ascii="Arial" w:hAnsi="Arial" w:cs="Arial"/>
          <w:sz w:val="20"/>
          <w:szCs w:val="20"/>
        </w:rPr>
        <w:t xml:space="preserve">he Honest Broker Service </w:t>
      </w:r>
      <w:r w:rsidR="00892EC8" w:rsidRPr="00135112">
        <w:rPr>
          <w:rFonts w:ascii="Arial" w:hAnsi="Arial" w:cs="Arial"/>
          <w:sz w:val="20"/>
          <w:szCs w:val="20"/>
        </w:rPr>
        <w:t xml:space="preserve">operate a tenancy of the UK </w:t>
      </w:r>
      <w:r w:rsidR="00D674F1" w:rsidRPr="00135112">
        <w:rPr>
          <w:rFonts w:ascii="Arial" w:hAnsi="Arial" w:cs="Arial"/>
          <w:sz w:val="20"/>
          <w:szCs w:val="20"/>
        </w:rPr>
        <w:t>Secure e-Research Platform</w:t>
      </w:r>
      <w:r w:rsidR="00892EC8" w:rsidRPr="00135112">
        <w:rPr>
          <w:rFonts w:ascii="Arial" w:hAnsi="Arial" w:cs="Arial"/>
          <w:sz w:val="20"/>
          <w:szCs w:val="20"/>
        </w:rPr>
        <w:t xml:space="preserve"> which provides the technology infrastructure for remote access to data. </w:t>
      </w:r>
      <w:r w:rsidR="00C23731" w:rsidRPr="00135112">
        <w:rPr>
          <w:rFonts w:ascii="Arial" w:hAnsi="Arial" w:cs="Arial"/>
          <w:sz w:val="20"/>
          <w:szCs w:val="20"/>
        </w:rPr>
        <w:t>Th</w:t>
      </w:r>
      <w:r w:rsidR="00892EC8" w:rsidRPr="00135112">
        <w:rPr>
          <w:rFonts w:ascii="Arial" w:hAnsi="Arial" w:cs="Arial"/>
          <w:sz w:val="20"/>
          <w:szCs w:val="20"/>
        </w:rPr>
        <w:t>e tenancy includes</w:t>
      </w:r>
      <w:r w:rsidR="00C23731" w:rsidRPr="00135112">
        <w:rPr>
          <w:rFonts w:ascii="Arial" w:hAnsi="Arial" w:cs="Arial"/>
          <w:sz w:val="20"/>
          <w:szCs w:val="20"/>
        </w:rPr>
        <w:t xml:space="preserve"> provides a number of</w:t>
      </w:r>
      <w:r w:rsidR="00892EC8" w:rsidRPr="00135112">
        <w:rPr>
          <w:rFonts w:ascii="Arial" w:hAnsi="Arial" w:cs="Arial"/>
          <w:sz w:val="20"/>
          <w:szCs w:val="20"/>
        </w:rPr>
        <w:t xml:space="preserve"> pre-paid</w:t>
      </w:r>
      <w:r w:rsidR="00C23731" w:rsidRPr="00135112">
        <w:rPr>
          <w:rFonts w:ascii="Arial" w:hAnsi="Arial" w:cs="Arial"/>
          <w:sz w:val="20"/>
          <w:szCs w:val="20"/>
        </w:rPr>
        <w:t xml:space="preserve"> desktops, </w:t>
      </w:r>
      <w:r w:rsidR="00350DCC" w:rsidRPr="00135112">
        <w:rPr>
          <w:rFonts w:ascii="Arial" w:hAnsi="Arial" w:cs="Arial"/>
          <w:sz w:val="20"/>
          <w:szCs w:val="20"/>
        </w:rPr>
        <w:t>S</w:t>
      </w:r>
      <w:r w:rsidR="00C23731" w:rsidRPr="00135112">
        <w:rPr>
          <w:rFonts w:ascii="Arial" w:hAnsi="Arial" w:cs="Arial"/>
          <w:sz w:val="20"/>
          <w:szCs w:val="20"/>
        </w:rPr>
        <w:t xml:space="preserve">tata licenses and storage. </w:t>
      </w:r>
      <w:r w:rsidR="00892EC8" w:rsidRPr="00135112">
        <w:rPr>
          <w:rFonts w:ascii="Arial" w:hAnsi="Arial" w:cs="Arial"/>
          <w:sz w:val="20"/>
          <w:szCs w:val="20"/>
        </w:rPr>
        <w:t xml:space="preserve">Costs for desktops on SeRP are not currently passed on to the researcher, however the service operates on an acceptable use policy and if a project team requires a large </w:t>
      </w:r>
      <w:proofErr w:type="gramStart"/>
      <w:r w:rsidR="00892EC8" w:rsidRPr="00135112">
        <w:rPr>
          <w:rFonts w:ascii="Arial" w:hAnsi="Arial" w:cs="Arial"/>
          <w:sz w:val="20"/>
          <w:szCs w:val="20"/>
        </w:rPr>
        <w:t>amount</w:t>
      </w:r>
      <w:proofErr w:type="gramEnd"/>
      <w:r w:rsidR="00892EC8" w:rsidRPr="00135112">
        <w:rPr>
          <w:rFonts w:ascii="Arial" w:hAnsi="Arial" w:cs="Arial"/>
          <w:sz w:val="20"/>
          <w:szCs w:val="20"/>
        </w:rPr>
        <w:t xml:space="preserve"> of licenses and storage space then there may be additional charges. </w:t>
      </w:r>
      <w:r w:rsidR="00C23731" w:rsidRPr="00135112">
        <w:rPr>
          <w:rFonts w:ascii="Arial" w:hAnsi="Arial" w:cs="Arial"/>
          <w:sz w:val="20"/>
          <w:szCs w:val="20"/>
        </w:rPr>
        <w:t>Researcher</w:t>
      </w:r>
      <w:r w:rsidR="00892EC8" w:rsidRPr="00135112">
        <w:rPr>
          <w:rFonts w:ascii="Arial" w:hAnsi="Arial" w:cs="Arial"/>
          <w:sz w:val="20"/>
          <w:szCs w:val="20"/>
        </w:rPr>
        <w:t xml:space="preserve"> do </w:t>
      </w:r>
      <w:r w:rsidR="00C23731" w:rsidRPr="00135112">
        <w:rPr>
          <w:rFonts w:ascii="Arial" w:hAnsi="Arial" w:cs="Arial"/>
          <w:sz w:val="20"/>
          <w:szCs w:val="20"/>
        </w:rPr>
        <w:t xml:space="preserve">have the option of paying for additional </w:t>
      </w:r>
      <w:r w:rsidR="00892EC8" w:rsidRPr="00135112">
        <w:rPr>
          <w:rFonts w:ascii="Arial" w:hAnsi="Arial" w:cs="Arial"/>
          <w:sz w:val="20"/>
          <w:szCs w:val="20"/>
        </w:rPr>
        <w:t xml:space="preserve">resources if required (for example high powered desktops) </w:t>
      </w:r>
      <w:r w:rsidR="00C23731" w:rsidRPr="00135112">
        <w:rPr>
          <w:rFonts w:ascii="Arial" w:hAnsi="Arial" w:cs="Arial"/>
          <w:sz w:val="20"/>
          <w:szCs w:val="20"/>
        </w:rPr>
        <w:t xml:space="preserve">and for paying for licenses for additional software if required. </w:t>
      </w:r>
    </w:p>
    <w:p w14:paraId="39584064" w14:textId="22AC6AD8" w:rsidR="00601D65" w:rsidRPr="00135112" w:rsidRDefault="00F21F8C" w:rsidP="00957970">
      <w:pPr>
        <w:pStyle w:val="ListParagraph"/>
        <w:numPr>
          <w:ilvl w:val="1"/>
          <w:numId w:val="1"/>
        </w:numPr>
        <w:ind w:left="567"/>
        <w:jc w:val="both"/>
        <w:rPr>
          <w:rFonts w:ascii="Arial" w:hAnsi="Arial" w:cs="Arial"/>
          <w:sz w:val="20"/>
          <w:szCs w:val="20"/>
        </w:rPr>
      </w:pPr>
      <w:r w:rsidRPr="00135112">
        <w:rPr>
          <w:rFonts w:ascii="Arial" w:hAnsi="Arial" w:cs="Arial"/>
          <w:sz w:val="20"/>
          <w:szCs w:val="20"/>
        </w:rPr>
        <w:t>The Honest Broker Service reserve right to decline to process any application for data at any stage prior to the approval of the project. In this case feedback will be provided to the project team giving reasons that the application is not being progressed.</w:t>
      </w:r>
    </w:p>
    <w:p w14:paraId="5A51BC34" w14:textId="77777777" w:rsidR="00892EC8" w:rsidRPr="00135112" w:rsidRDefault="00892EC8" w:rsidP="00957970">
      <w:pPr>
        <w:jc w:val="both"/>
        <w:rPr>
          <w:rFonts w:ascii="Arial" w:hAnsi="Arial" w:cs="Arial"/>
          <w:b/>
          <w:sz w:val="20"/>
          <w:szCs w:val="20"/>
        </w:rPr>
      </w:pPr>
    </w:p>
    <w:p w14:paraId="08802188" w14:textId="77777777" w:rsidR="00892EC8" w:rsidRPr="00135112" w:rsidRDefault="00892EC8" w:rsidP="00957970">
      <w:pPr>
        <w:jc w:val="both"/>
        <w:rPr>
          <w:rFonts w:ascii="Arial" w:hAnsi="Arial" w:cs="Arial"/>
          <w:b/>
          <w:sz w:val="20"/>
          <w:szCs w:val="20"/>
        </w:rPr>
      </w:pPr>
    </w:p>
    <w:p w14:paraId="42C8C0C8" w14:textId="77777777" w:rsidR="00892EC8" w:rsidRPr="00135112" w:rsidRDefault="00892EC8" w:rsidP="00957970">
      <w:pPr>
        <w:jc w:val="both"/>
        <w:rPr>
          <w:rFonts w:ascii="Arial" w:hAnsi="Arial" w:cs="Arial"/>
          <w:b/>
          <w:sz w:val="20"/>
          <w:szCs w:val="20"/>
        </w:rPr>
      </w:pPr>
    </w:p>
    <w:p w14:paraId="09AB0862" w14:textId="36930F8F" w:rsidR="00F21F8C" w:rsidRPr="00135112" w:rsidRDefault="001D6847" w:rsidP="00957970">
      <w:pPr>
        <w:jc w:val="both"/>
        <w:rPr>
          <w:rFonts w:ascii="Arial" w:hAnsi="Arial" w:cs="Arial"/>
          <w:b/>
          <w:sz w:val="20"/>
          <w:szCs w:val="20"/>
        </w:rPr>
      </w:pPr>
      <w:r w:rsidRPr="00135112">
        <w:rPr>
          <w:rFonts w:ascii="Arial" w:hAnsi="Arial" w:cs="Arial"/>
          <w:b/>
          <w:sz w:val="20"/>
          <w:szCs w:val="20"/>
        </w:rPr>
        <w:t>Charging Rates</w:t>
      </w:r>
    </w:p>
    <w:p w14:paraId="016D5918" w14:textId="2ADAF032" w:rsidR="00957970" w:rsidRPr="00135112" w:rsidRDefault="001D6847" w:rsidP="00957970">
      <w:pPr>
        <w:pStyle w:val="ListParagraph"/>
        <w:numPr>
          <w:ilvl w:val="0"/>
          <w:numId w:val="1"/>
        </w:numPr>
        <w:ind w:left="142"/>
        <w:jc w:val="both"/>
        <w:rPr>
          <w:rFonts w:ascii="Arial" w:hAnsi="Arial" w:cs="Arial"/>
          <w:sz w:val="20"/>
          <w:szCs w:val="20"/>
        </w:rPr>
      </w:pPr>
      <w:r w:rsidRPr="00135112">
        <w:rPr>
          <w:rFonts w:ascii="Arial" w:hAnsi="Arial" w:cs="Arial"/>
          <w:sz w:val="20"/>
          <w:szCs w:val="20"/>
        </w:rPr>
        <w:t xml:space="preserve">The table below sets out </w:t>
      </w:r>
      <w:r w:rsidR="00350DCC" w:rsidRPr="00135112">
        <w:rPr>
          <w:rFonts w:ascii="Arial" w:hAnsi="Arial" w:cs="Arial"/>
          <w:sz w:val="20"/>
          <w:szCs w:val="20"/>
        </w:rPr>
        <w:t>the</w:t>
      </w:r>
      <w:r w:rsidR="0044363A" w:rsidRPr="00135112">
        <w:rPr>
          <w:rFonts w:ascii="Arial" w:hAnsi="Arial" w:cs="Arial"/>
          <w:sz w:val="20"/>
          <w:szCs w:val="20"/>
        </w:rPr>
        <w:t xml:space="preserve"> </w:t>
      </w:r>
      <w:r w:rsidRPr="00135112">
        <w:rPr>
          <w:rFonts w:ascii="Arial" w:hAnsi="Arial" w:cs="Arial"/>
          <w:sz w:val="20"/>
          <w:szCs w:val="20"/>
        </w:rPr>
        <w:t>charging framework for the Honest Broker Service</w:t>
      </w:r>
      <w:r w:rsidR="0044363A" w:rsidRPr="00135112">
        <w:rPr>
          <w:rFonts w:ascii="Arial" w:hAnsi="Arial" w:cs="Arial"/>
          <w:sz w:val="20"/>
          <w:szCs w:val="20"/>
        </w:rPr>
        <w:t xml:space="preserve"> for 202</w:t>
      </w:r>
      <w:r w:rsidR="00AB230D">
        <w:rPr>
          <w:rFonts w:ascii="Arial" w:hAnsi="Arial" w:cs="Arial"/>
          <w:sz w:val="20"/>
          <w:szCs w:val="20"/>
        </w:rPr>
        <w:t>5/26</w:t>
      </w:r>
      <w:r w:rsidR="0044363A" w:rsidRPr="00135112">
        <w:rPr>
          <w:rFonts w:ascii="Arial" w:hAnsi="Arial" w:cs="Arial"/>
          <w:sz w:val="20"/>
          <w:szCs w:val="20"/>
        </w:rPr>
        <w:t xml:space="preserve">. </w:t>
      </w:r>
    </w:p>
    <w:p w14:paraId="5AFF97C1" w14:textId="77777777" w:rsidR="00957970" w:rsidRPr="00135112" w:rsidRDefault="00957970" w:rsidP="00957970">
      <w:pPr>
        <w:pStyle w:val="ListParagraph"/>
        <w:ind w:left="142"/>
        <w:jc w:val="both"/>
        <w:rPr>
          <w:rFonts w:ascii="Arial" w:hAnsi="Arial" w:cs="Arial"/>
          <w:sz w:val="20"/>
          <w:szCs w:val="20"/>
        </w:rPr>
      </w:pPr>
    </w:p>
    <w:p w14:paraId="1A6D9D22" w14:textId="77777777" w:rsidR="00957970" w:rsidRPr="00135112" w:rsidRDefault="001D6847" w:rsidP="00957970">
      <w:pPr>
        <w:pStyle w:val="ListParagraph"/>
        <w:numPr>
          <w:ilvl w:val="0"/>
          <w:numId w:val="1"/>
        </w:numPr>
        <w:ind w:left="142"/>
        <w:jc w:val="both"/>
        <w:rPr>
          <w:rFonts w:ascii="Arial" w:hAnsi="Arial" w:cs="Arial"/>
          <w:sz w:val="20"/>
          <w:szCs w:val="20"/>
        </w:rPr>
      </w:pPr>
      <w:r w:rsidRPr="00135112">
        <w:rPr>
          <w:rFonts w:ascii="Arial" w:hAnsi="Arial" w:cs="Arial"/>
          <w:sz w:val="20"/>
          <w:szCs w:val="20"/>
        </w:rPr>
        <w:t>All prices below are exclusive of VAT. Where VAT charges are applicable these will be met by an individual project at an additional cost. The Honest Broker Service will include VAT at a standard rate in project charges unless the project can satisfy (e.g. by provision of a VAT exemption certificate) that a different rate should be applied.</w:t>
      </w:r>
    </w:p>
    <w:p w14:paraId="7A31F45E" w14:textId="77777777" w:rsidR="00957970" w:rsidRPr="00135112" w:rsidRDefault="00957970" w:rsidP="00957970">
      <w:pPr>
        <w:pStyle w:val="ListParagraph"/>
        <w:rPr>
          <w:rFonts w:ascii="Arial" w:hAnsi="Arial" w:cs="Arial"/>
          <w:sz w:val="20"/>
          <w:szCs w:val="20"/>
        </w:rPr>
      </w:pPr>
    </w:p>
    <w:p w14:paraId="29EB2728" w14:textId="3D87EB29" w:rsidR="00BF3EDE" w:rsidRPr="00135112" w:rsidRDefault="009E605C" w:rsidP="009A7803">
      <w:pPr>
        <w:pStyle w:val="ListParagraph"/>
        <w:numPr>
          <w:ilvl w:val="0"/>
          <w:numId w:val="1"/>
        </w:numPr>
        <w:ind w:left="142"/>
        <w:jc w:val="both"/>
        <w:rPr>
          <w:rFonts w:ascii="Arial" w:hAnsi="Arial" w:cs="Arial"/>
          <w:b/>
          <w:sz w:val="20"/>
          <w:szCs w:val="20"/>
        </w:rPr>
      </w:pPr>
      <w:r>
        <w:rPr>
          <w:rFonts w:ascii="Arial" w:hAnsi="Arial" w:cs="Arial"/>
          <w:b/>
          <w:sz w:val="20"/>
          <w:szCs w:val="20"/>
        </w:rPr>
        <w:t>Prices quoted in this document reflect rates for academic access, c</w:t>
      </w:r>
      <w:r w:rsidR="001D6847" w:rsidRPr="00135112">
        <w:rPr>
          <w:rFonts w:ascii="Arial" w:hAnsi="Arial" w:cs="Arial"/>
          <w:b/>
          <w:sz w:val="20"/>
          <w:szCs w:val="20"/>
        </w:rPr>
        <w:t xml:space="preserve">osts for projects commissioned by a commercial entity or where a commercial entity is the main beneficiary </w:t>
      </w:r>
      <w:r w:rsidR="00455D6F">
        <w:rPr>
          <w:rFonts w:ascii="Arial" w:hAnsi="Arial" w:cs="Arial"/>
          <w:b/>
          <w:sz w:val="20"/>
          <w:szCs w:val="20"/>
        </w:rPr>
        <w:t xml:space="preserve">may </w:t>
      </w:r>
      <w:r w:rsidR="001D6847" w:rsidRPr="00135112">
        <w:rPr>
          <w:rFonts w:ascii="Arial" w:hAnsi="Arial" w:cs="Arial"/>
          <w:b/>
          <w:sz w:val="20"/>
          <w:szCs w:val="20"/>
        </w:rPr>
        <w:t xml:space="preserve">be charged </w:t>
      </w:r>
      <w:r w:rsidR="00D53E79" w:rsidRPr="00135112">
        <w:rPr>
          <w:rFonts w:ascii="Arial" w:hAnsi="Arial" w:cs="Arial"/>
          <w:b/>
          <w:sz w:val="20"/>
          <w:szCs w:val="20"/>
        </w:rPr>
        <w:t>an additional</w:t>
      </w:r>
      <w:r>
        <w:rPr>
          <w:rFonts w:ascii="Arial" w:hAnsi="Arial" w:cs="Arial"/>
          <w:b/>
          <w:sz w:val="20"/>
          <w:szCs w:val="20"/>
        </w:rPr>
        <w:t xml:space="preserve"> rate</w:t>
      </w:r>
      <w:r w:rsidR="00CA2026" w:rsidRPr="00135112">
        <w:rPr>
          <w:rFonts w:ascii="Arial" w:hAnsi="Arial" w:cs="Arial"/>
          <w:b/>
          <w:sz w:val="20"/>
          <w:szCs w:val="20"/>
        </w:rPr>
        <w:t xml:space="preserve">. </w:t>
      </w:r>
    </w:p>
    <w:p w14:paraId="3D49F24A" w14:textId="77777777" w:rsidR="00BF3EDE" w:rsidRPr="00135112" w:rsidRDefault="00BF3EDE" w:rsidP="00BF3EDE">
      <w:pPr>
        <w:pStyle w:val="ListParagraph"/>
        <w:rPr>
          <w:rFonts w:ascii="Arial" w:hAnsi="Arial" w:cs="Arial"/>
          <w:b/>
          <w:sz w:val="20"/>
          <w:szCs w:val="20"/>
        </w:rPr>
      </w:pPr>
    </w:p>
    <w:p w14:paraId="43099B50" w14:textId="363CECEC" w:rsidR="009A7803" w:rsidRPr="00135112" w:rsidRDefault="000B7047" w:rsidP="009A7803">
      <w:pPr>
        <w:pStyle w:val="ListParagraph"/>
        <w:numPr>
          <w:ilvl w:val="0"/>
          <w:numId w:val="1"/>
        </w:numPr>
        <w:ind w:left="142"/>
        <w:jc w:val="both"/>
        <w:rPr>
          <w:rFonts w:ascii="Arial" w:hAnsi="Arial" w:cs="Arial"/>
          <w:b/>
          <w:sz w:val="20"/>
          <w:szCs w:val="20"/>
        </w:rPr>
      </w:pPr>
      <w:r w:rsidRPr="00135112">
        <w:rPr>
          <w:rFonts w:ascii="Arial" w:hAnsi="Arial" w:cs="Arial"/>
          <w:b/>
          <w:sz w:val="20"/>
          <w:szCs w:val="20"/>
        </w:rPr>
        <w:t xml:space="preserve">Please contact </w:t>
      </w:r>
      <w:r w:rsidR="00BF3EDE" w:rsidRPr="00135112">
        <w:rPr>
          <w:rFonts w:ascii="Arial" w:hAnsi="Arial" w:cs="Arial"/>
          <w:b/>
          <w:sz w:val="20"/>
          <w:szCs w:val="20"/>
        </w:rPr>
        <w:t>HBS</w:t>
      </w:r>
      <w:r w:rsidRPr="00135112">
        <w:rPr>
          <w:rFonts w:ascii="Arial" w:hAnsi="Arial" w:cs="Arial"/>
          <w:b/>
          <w:sz w:val="20"/>
          <w:szCs w:val="20"/>
        </w:rPr>
        <w:t xml:space="preserve"> early if </w:t>
      </w:r>
      <w:r w:rsidR="00BF3EDE" w:rsidRPr="00135112">
        <w:rPr>
          <w:rFonts w:ascii="Arial" w:hAnsi="Arial" w:cs="Arial"/>
          <w:b/>
          <w:sz w:val="20"/>
          <w:szCs w:val="20"/>
        </w:rPr>
        <w:t>your project has commercial elements</w:t>
      </w:r>
      <w:r w:rsidR="007B3383" w:rsidRPr="00135112">
        <w:rPr>
          <w:rFonts w:ascii="Arial" w:hAnsi="Arial" w:cs="Arial"/>
          <w:b/>
          <w:sz w:val="20"/>
          <w:szCs w:val="20"/>
        </w:rPr>
        <w:t xml:space="preserve"> so that advice can be sought on the application of these rates</w:t>
      </w:r>
      <w:r w:rsidRPr="00135112">
        <w:rPr>
          <w:rFonts w:ascii="Arial" w:hAnsi="Arial" w:cs="Arial"/>
          <w:b/>
          <w:sz w:val="20"/>
          <w:szCs w:val="20"/>
        </w:rPr>
        <w:t>.</w:t>
      </w:r>
    </w:p>
    <w:p w14:paraId="0A1C0A9D" w14:textId="77777777" w:rsidR="00582B94" w:rsidRPr="00135112" w:rsidRDefault="00582B94" w:rsidP="00582B94">
      <w:pPr>
        <w:pStyle w:val="ListParagraph"/>
        <w:rPr>
          <w:rFonts w:ascii="Arial" w:hAnsi="Arial" w:cs="Arial"/>
          <w:sz w:val="20"/>
          <w:szCs w:val="20"/>
        </w:rPr>
      </w:pPr>
    </w:p>
    <w:p w14:paraId="6EAAC8F9" w14:textId="48E52EEB" w:rsidR="00957970" w:rsidRPr="00135112" w:rsidRDefault="00AC1AAE" w:rsidP="00957970">
      <w:pPr>
        <w:pStyle w:val="ListParagraph"/>
        <w:numPr>
          <w:ilvl w:val="0"/>
          <w:numId w:val="1"/>
        </w:numPr>
        <w:ind w:left="142"/>
        <w:jc w:val="both"/>
        <w:rPr>
          <w:rFonts w:ascii="Arial" w:hAnsi="Arial" w:cs="Arial"/>
          <w:sz w:val="20"/>
          <w:szCs w:val="20"/>
        </w:rPr>
      </w:pPr>
      <w:r w:rsidRPr="00135112">
        <w:rPr>
          <w:rFonts w:ascii="Arial" w:hAnsi="Arial" w:cs="Arial"/>
          <w:sz w:val="20"/>
          <w:szCs w:val="20"/>
        </w:rPr>
        <w:t>In normal circumstances a project will be expected to pay all costs outlined in the scoping form in full. There are three exceptions to this i) paid for by another project, ii) costs covered by a prior agreement.</w:t>
      </w:r>
    </w:p>
    <w:p w14:paraId="28ECF404" w14:textId="77777777" w:rsidR="00957970" w:rsidRPr="00135112" w:rsidRDefault="00957970" w:rsidP="00957970">
      <w:pPr>
        <w:pStyle w:val="ListParagraph"/>
        <w:rPr>
          <w:rFonts w:ascii="Arial" w:hAnsi="Arial" w:cs="Arial"/>
          <w:sz w:val="20"/>
          <w:szCs w:val="20"/>
        </w:rPr>
      </w:pPr>
    </w:p>
    <w:p w14:paraId="34C65D1B" w14:textId="18326BC0" w:rsidR="00582B94" w:rsidRPr="00135112" w:rsidRDefault="00AC1AAE" w:rsidP="00582B94">
      <w:pPr>
        <w:pStyle w:val="ListParagraph"/>
        <w:numPr>
          <w:ilvl w:val="0"/>
          <w:numId w:val="1"/>
        </w:numPr>
        <w:ind w:left="142"/>
        <w:jc w:val="both"/>
        <w:rPr>
          <w:rFonts w:ascii="Arial" w:hAnsi="Arial" w:cs="Arial"/>
          <w:sz w:val="20"/>
          <w:szCs w:val="20"/>
        </w:rPr>
      </w:pPr>
      <w:r w:rsidRPr="00135112">
        <w:rPr>
          <w:rFonts w:ascii="Arial" w:hAnsi="Arial" w:cs="Arial"/>
          <w:sz w:val="20"/>
          <w:szCs w:val="20"/>
        </w:rPr>
        <w:t>Amendments such as extensions or additional services outside the original scoping form, will be chargeable except where the Researcher could not use what they had paid for during the project lifecycle due to a delay by the Honest Broker Service (for example if account did not work for a month, or wrong data</w:t>
      </w:r>
      <w:r w:rsidR="00DA2FDF" w:rsidRPr="00135112">
        <w:rPr>
          <w:rFonts w:ascii="Arial" w:hAnsi="Arial" w:cs="Arial"/>
          <w:sz w:val="20"/>
          <w:szCs w:val="20"/>
        </w:rPr>
        <w:t xml:space="preserve"> </w:t>
      </w:r>
      <w:r w:rsidRPr="00135112">
        <w:rPr>
          <w:rFonts w:ascii="Arial" w:hAnsi="Arial" w:cs="Arial"/>
          <w:sz w:val="20"/>
          <w:szCs w:val="20"/>
        </w:rPr>
        <w:t>was provided and data had to be re-provisioned), then a short cost-free extension</w:t>
      </w:r>
      <w:r w:rsidR="00DA2FDF" w:rsidRPr="00135112">
        <w:rPr>
          <w:rFonts w:ascii="Arial" w:hAnsi="Arial" w:cs="Arial"/>
          <w:sz w:val="20"/>
          <w:szCs w:val="20"/>
        </w:rPr>
        <w:t xml:space="preserve"> </w:t>
      </w:r>
      <w:r w:rsidRPr="00135112">
        <w:rPr>
          <w:rFonts w:ascii="Arial" w:hAnsi="Arial" w:cs="Arial"/>
          <w:sz w:val="20"/>
          <w:szCs w:val="20"/>
        </w:rPr>
        <w:t>reflecting the delay suffered would be granted.</w:t>
      </w:r>
    </w:p>
    <w:p w14:paraId="2EE81849" w14:textId="77777777" w:rsidR="00F57723" w:rsidRPr="00135112" w:rsidRDefault="00F57723" w:rsidP="00F57723">
      <w:pPr>
        <w:pStyle w:val="ListParagraph"/>
        <w:rPr>
          <w:rFonts w:ascii="Arial" w:hAnsi="Arial" w:cs="Arial"/>
          <w:sz w:val="20"/>
          <w:szCs w:val="20"/>
        </w:rPr>
      </w:pPr>
    </w:p>
    <w:p w14:paraId="77C632A7" w14:textId="369EB64C" w:rsidR="00582B94" w:rsidRPr="00135112" w:rsidRDefault="00F57723" w:rsidP="00F57723">
      <w:pPr>
        <w:jc w:val="both"/>
        <w:rPr>
          <w:rFonts w:ascii="Arial" w:hAnsi="Arial" w:cs="Arial"/>
          <w:b/>
          <w:sz w:val="20"/>
          <w:szCs w:val="20"/>
        </w:rPr>
      </w:pPr>
      <w:r w:rsidRPr="00135112">
        <w:rPr>
          <w:rFonts w:ascii="Arial" w:hAnsi="Arial" w:cs="Arial"/>
          <w:b/>
          <w:sz w:val="20"/>
          <w:szCs w:val="20"/>
        </w:rPr>
        <w:t>Chargeable elements of the HBS service</w:t>
      </w:r>
    </w:p>
    <w:p w14:paraId="56161E2D" w14:textId="77777777" w:rsidR="00A84E36" w:rsidRPr="00135112" w:rsidRDefault="00A84E36" w:rsidP="00A84E36">
      <w:pPr>
        <w:pStyle w:val="ListParagraph"/>
        <w:numPr>
          <w:ilvl w:val="0"/>
          <w:numId w:val="1"/>
        </w:numPr>
        <w:ind w:left="142"/>
        <w:jc w:val="both"/>
        <w:rPr>
          <w:rFonts w:ascii="Arial" w:hAnsi="Arial" w:cs="Arial"/>
          <w:sz w:val="20"/>
          <w:szCs w:val="20"/>
        </w:rPr>
      </w:pPr>
      <w:r w:rsidRPr="00135112">
        <w:rPr>
          <w:rFonts w:ascii="Arial" w:hAnsi="Arial" w:cs="Arial"/>
          <w:b/>
          <w:i/>
          <w:sz w:val="20"/>
          <w:szCs w:val="20"/>
        </w:rPr>
        <w:t>Fixed Setup/Running Costs</w:t>
      </w:r>
      <w:r w:rsidRPr="00135112">
        <w:rPr>
          <w:rFonts w:ascii="Arial" w:hAnsi="Arial" w:cs="Arial"/>
          <w:sz w:val="20"/>
          <w:szCs w:val="20"/>
        </w:rPr>
        <w:t xml:space="preserve">: These are standard charges applied to all projects which contribute to the costs of the Application Review process, project setup (creation of accounts, initial provisioning of data etc.) and ongoing support including disclosure control output reviews of data which the project </w:t>
      </w:r>
      <w:proofErr w:type="gramStart"/>
      <w:r w:rsidRPr="00135112">
        <w:rPr>
          <w:rFonts w:ascii="Arial" w:hAnsi="Arial" w:cs="Arial"/>
          <w:sz w:val="20"/>
          <w:szCs w:val="20"/>
        </w:rPr>
        <w:t>wish</w:t>
      </w:r>
      <w:proofErr w:type="gramEnd"/>
      <w:r w:rsidRPr="00135112">
        <w:rPr>
          <w:rFonts w:ascii="Arial" w:hAnsi="Arial" w:cs="Arial"/>
          <w:sz w:val="20"/>
          <w:szCs w:val="20"/>
        </w:rPr>
        <w:t xml:space="preserve"> to export out of the HBS environment.</w:t>
      </w:r>
    </w:p>
    <w:p w14:paraId="23B4470A" w14:textId="77777777" w:rsidR="00A84E36" w:rsidRPr="00135112" w:rsidRDefault="00A84E36" w:rsidP="00A84E36">
      <w:pPr>
        <w:pStyle w:val="ListParagraph"/>
        <w:ind w:left="142"/>
        <w:jc w:val="both"/>
        <w:rPr>
          <w:rFonts w:ascii="Arial" w:hAnsi="Arial" w:cs="Arial"/>
          <w:sz w:val="20"/>
          <w:szCs w:val="20"/>
        </w:rPr>
      </w:pPr>
    </w:p>
    <w:p w14:paraId="6C62E71C" w14:textId="775A710F" w:rsidR="00204805" w:rsidRPr="00135112" w:rsidRDefault="00A84E36" w:rsidP="00BA4DF7">
      <w:pPr>
        <w:pStyle w:val="ListParagraph"/>
        <w:numPr>
          <w:ilvl w:val="0"/>
          <w:numId w:val="1"/>
        </w:numPr>
        <w:ind w:left="142"/>
        <w:jc w:val="both"/>
        <w:rPr>
          <w:rFonts w:ascii="Arial" w:hAnsi="Arial" w:cs="Arial"/>
          <w:sz w:val="20"/>
          <w:szCs w:val="20"/>
        </w:rPr>
      </w:pPr>
      <w:r w:rsidRPr="00135112">
        <w:rPr>
          <w:rFonts w:ascii="Arial" w:hAnsi="Arial" w:cs="Arial"/>
          <w:sz w:val="20"/>
          <w:szCs w:val="20"/>
        </w:rPr>
        <w:t>These include:</w:t>
      </w:r>
    </w:p>
    <w:tbl>
      <w:tblPr>
        <w:tblStyle w:val="TableGrid"/>
        <w:tblW w:w="0" w:type="auto"/>
        <w:tblLook w:val="04A0" w:firstRow="1" w:lastRow="0" w:firstColumn="1" w:lastColumn="0" w:noHBand="0" w:noVBand="1"/>
      </w:tblPr>
      <w:tblGrid>
        <w:gridCol w:w="8692"/>
        <w:gridCol w:w="550"/>
      </w:tblGrid>
      <w:tr w:rsidR="00644103" w:rsidRPr="00135112" w14:paraId="38FE140C" w14:textId="77777777" w:rsidTr="009A7803">
        <w:tc>
          <w:tcPr>
            <w:tcW w:w="0" w:type="auto"/>
            <w:gridSpan w:val="2"/>
          </w:tcPr>
          <w:p w14:paraId="09450C86" w14:textId="711CA820" w:rsidR="00644103" w:rsidRPr="00135112" w:rsidRDefault="00644103" w:rsidP="00CA6ACE">
            <w:pPr>
              <w:jc w:val="both"/>
              <w:rPr>
                <w:rFonts w:ascii="Arial" w:hAnsi="Arial" w:cs="Arial"/>
                <w:sz w:val="20"/>
                <w:szCs w:val="20"/>
              </w:rPr>
            </w:pPr>
            <w:r w:rsidRPr="00135112">
              <w:rPr>
                <w:rFonts w:ascii="Arial" w:hAnsi="Arial" w:cs="Arial"/>
                <w:sz w:val="20"/>
                <w:szCs w:val="20"/>
              </w:rPr>
              <w:t>Fixed Setup / Running Costs</w:t>
            </w:r>
          </w:p>
        </w:tc>
      </w:tr>
      <w:tr w:rsidR="00644103" w:rsidRPr="00135112" w14:paraId="00C82B66" w14:textId="77777777" w:rsidTr="009A7803">
        <w:tc>
          <w:tcPr>
            <w:tcW w:w="0" w:type="auto"/>
          </w:tcPr>
          <w:p w14:paraId="5ACC9A59" w14:textId="61767F09" w:rsidR="00644103" w:rsidRPr="00135112" w:rsidRDefault="00644103" w:rsidP="00CA6ACE">
            <w:pPr>
              <w:jc w:val="both"/>
              <w:rPr>
                <w:rFonts w:ascii="Arial" w:hAnsi="Arial" w:cs="Arial"/>
                <w:sz w:val="20"/>
                <w:szCs w:val="20"/>
              </w:rPr>
            </w:pPr>
            <w:r w:rsidRPr="00135112">
              <w:rPr>
                <w:rFonts w:ascii="Arial" w:hAnsi="Arial" w:cs="Arial"/>
                <w:sz w:val="20"/>
                <w:szCs w:val="20"/>
              </w:rPr>
              <w:t>Project setup – one off cost</w:t>
            </w:r>
          </w:p>
        </w:tc>
        <w:tc>
          <w:tcPr>
            <w:tcW w:w="0" w:type="auto"/>
          </w:tcPr>
          <w:p w14:paraId="17F0826C" w14:textId="4396332B" w:rsidR="00644103" w:rsidRPr="00135112" w:rsidRDefault="00644103" w:rsidP="00CA6ACE">
            <w:pPr>
              <w:jc w:val="both"/>
              <w:rPr>
                <w:rFonts w:ascii="Arial" w:hAnsi="Arial" w:cs="Arial"/>
                <w:sz w:val="20"/>
                <w:szCs w:val="20"/>
              </w:rPr>
            </w:pPr>
            <w:r w:rsidRPr="00135112">
              <w:rPr>
                <w:rFonts w:ascii="Arial" w:hAnsi="Arial" w:cs="Arial"/>
                <w:sz w:val="20"/>
                <w:szCs w:val="20"/>
              </w:rPr>
              <w:t>600</w:t>
            </w:r>
          </w:p>
        </w:tc>
      </w:tr>
      <w:tr w:rsidR="00644103" w:rsidRPr="00135112" w14:paraId="1B7B9981" w14:textId="77777777" w:rsidTr="009A7803">
        <w:trPr>
          <w:trHeight w:val="504"/>
        </w:trPr>
        <w:tc>
          <w:tcPr>
            <w:tcW w:w="0" w:type="auto"/>
          </w:tcPr>
          <w:p w14:paraId="52EBE96A" w14:textId="0D108A1F" w:rsidR="00644103" w:rsidRPr="00135112" w:rsidRDefault="00644103" w:rsidP="00CA6ACE">
            <w:pPr>
              <w:jc w:val="both"/>
              <w:rPr>
                <w:rFonts w:ascii="Arial" w:hAnsi="Arial" w:cs="Arial"/>
                <w:sz w:val="20"/>
                <w:szCs w:val="20"/>
              </w:rPr>
            </w:pPr>
            <w:r w:rsidRPr="00135112">
              <w:rPr>
                <w:rFonts w:ascii="Arial" w:hAnsi="Arial" w:cs="Arial"/>
                <w:sz w:val="20"/>
                <w:szCs w:val="20"/>
              </w:rPr>
              <w:t>Ongoing Support and Disclosure Control (Per annum for projects up to 5 active users, additional members will be charged</w:t>
            </w:r>
            <w:r w:rsidR="009A7803" w:rsidRPr="00135112">
              <w:rPr>
                <w:rFonts w:ascii="Arial" w:hAnsi="Arial" w:cs="Arial"/>
                <w:sz w:val="20"/>
                <w:szCs w:val="20"/>
              </w:rPr>
              <w:t xml:space="preserve"> an additional 120 per user</w:t>
            </w:r>
            <w:r w:rsidR="00F57723" w:rsidRPr="00135112">
              <w:rPr>
                <w:rFonts w:ascii="Arial" w:hAnsi="Arial" w:cs="Arial"/>
                <w:sz w:val="20"/>
                <w:szCs w:val="20"/>
              </w:rPr>
              <w:t xml:space="preserve"> per year) *</w:t>
            </w:r>
          </w:p>
        </w:tc>
        <w:tc>
          <w:tcPr>
            <w:tcW w:w="0" w:type="auto"/>
          </w:tcPr>
          <w:p w14:paraId="54CB6F59" w14:textId="77777777" w:rsidR="00644103" w:rsidRPr="00135112" w:rsidRDefault="00644103" w:rsidP="00CA6ACE">
            <w:pPr>
              <w:jc w:val="both"/>
              <w:rPr>
                <w:rFonts w:ascii="Arial" w:hAnsi="Arial" w:cs="Arial"/>
                <w:sz w:val="20"/>
                <w:szCs w:val="20"/>
              </w:rPr>
            </w:pPr>
            <w:r w:rsidRPr="00135112">
              <w:rPr>
                <w:rFonts w:ascii="Arial" w:hAnsi="Arial" w:cs="Arial"/>
                <w:sz w:val="20"/>
                <w:szCs w:val="20"/>
              </w:rPr>
              <w:t>600</w:t>
            </w:r>
          </w:p>
        </w:tc>
      </w:tr>
      <w:tr w:rsidR="00644103" w:rsidRPr="00135112" w14:paraId="0C623ADE" w14:textId="77777777" w:rsidTr="009A7803">
        <w:trPr>
          <w:trHeight w:val="504"/>
        </w:trPr>
        <w:tc>
          <w:tcPr>
            <w:tcW w:w="0" w:type="auto"/>
          </w:tcPr>
          <w:p w14:paraId="5760D71F" w14:textId="6C5DC3CA" w:rsidR="00644103" w:rsidRPr="00135112" w:rsidRDefault="00644103" w:rsidP="00CA6ACE">
            <w:pPr>
              <w:jc w:val="both"/>
              <w:rPr>
                <w:rFonts w:ascii="Arial" w:hAnsi="Arial" w:cs="Arial"/>
                <w:sz w:val="20"/>
                <w:szCs w:val="20"/>
              </w:rPr>
            </w:pPr>
            <w:r w:rsidRPr="00135112">
              <w:rPr>
                <w:rFonts w:ascii="Arial" w:hAnsi="Arial" w:cs="Arial"/>
                <w:sz w:val="20"/>
                <w:szCs w:val="20"/>
              </w:rPr>
              <w:t>Project Modification</w:t>
            </w:r>
            <w:r w:rsidR="005D6B5B" w:rsidRPr="00135112">
              <w:rPr>
                <w:rFonts w:ascii="Arial" w:hAnsi="Arial" w:cs="Arial"/>
                <w:sz w:val="20"/>
                <w:szCs w:val="20"/>
              </w:rPr>
              <w:t xml:space="preserve"> Admin Fee</w:t>
            </w:r>
            <w:r w:rsidRPr="00135112">
              <w:rPr>
                <w:rFonts w:ascii="Arial" w:hAnsi="Arial" w:cs="Arial"/>
                <w:sz w:val="20"/>
                <w:szCs w:val="20"/>
              </w:rPr>
              <w:t xml:space="preserve"> (</w:t>
            </w:r>
            <w:r w:rsidR="005D6B5B" w:rsidRPr="00135112">
              <w:rPr>
                <w:rFonts w:ascii="Arial" w:hAnsi="Arial" w:cs="Arial"/>
                <w:sz w:val="20"/>
                <w:szCs w:val="20"/>
              </w:rPr>
              <w:t>Only applies to s</w:t>
            </w:r>
            <w:r w:rsidRPr="00135112">
              <w:rPr>
                <w:rFonts w:ascii="Arial" w:hAnsi="Arial" w:cs="Arial"/>
                <w:sz w:val="20"/>
                <w:szCs w:val="20"/>
              </w:rPr>
              <w:t xml:space="preserve">ignificant </w:t>
            </w:r>
            <w:r w:rsidR="005D6B5B" w:rsidRPr="00135112">
              <w:rPr>
                <w:rFonts w:ascii="Arial" w:hAnsi="Arial" w:cs="Arial"/>
                <w:sz w:val="20"/>
                <w:szCs w:val="20"/>
              </w:rPr>
              <w:t>c</w:t>
            </w:r>
            <w:r w:rsidRPr="00135112">
              <w:rPr>
                <w:rFonts w:ascii="Arial" w:hAnsi="Arial" w:cs="Arial"/>
                <w:sz w:val="20"/>
                <w:szCs w:val="20"/>
              </w:rPr>
              <w:t>hang</w:t>
            </w:r>
            <w:r w:rsidR="005D6B5B" w:rsidRPr="00135112">
              <w:rPr>
                <w:rFonts w:ascii="Arial" w:hAnsi="Arial" w:cs="Arial"/>
                <w:sz w:val="20"/>
                <w:szCs w:val="20"/>
              </w:rPr>
              <w:t>es</w:t>
            </w:r>
            <w:r w:rsidRPr="00135112">
              <w:rPr>
                <w:rFonts w:ascii="Arial" w:hAnsi="Arial" w:cs="Arial"/>
                <w:sz w:val="20"/>
                <w:szCs w:val="20"/>
              </w:rPr>
              <w:t xml:space="preserve"> </w:t>
            </w:r>
            <w:r w:rsidR="005D6B5B" w:rsidRPr="00135112">
              <w:rPr>
                <w:rFonts w:ascii="Arial" w:hAnsi="Arial" w:cs="Arial"/>
                <w:sz w:val="20"/>
                <w:szCs w:val="20"/>
              </w:rPr>
              <w:t>r</w:t>
            </w:r>
            <w:r w:rsidRPr="00135112">
              <w:rPr>
                <w:rFonts w:ascii="Arial" w:hAnsi="Arial" w:cs="Arial"/>
                <w:sz w:val="20"/>
                <w:szCs w:val="20"/>
              </w:rPr>
              <w:t xml:space="preserve">equiring </w:t>
            </w:r>
            <w:r w:rsidR="005D6B5B" w:rsidRPr="00135112">
              <w:rPr>
                <w:rFonts w:ascii="Arial" w:hAnsi="Arial" w:cs="Arial"/>
                <w:sz w:val="20"/>
                <w:szCs w:val="20"/>
              </w:rPr>
              <w:t xml:space="preserve">Data Access </w:t>
            </w:r>
            <w:r w:rsidRPr="00135112">
              <w:rPr>
                <w:rFonts w:ascii="Arial" w:hAnsi="Arial" w:cs="Arial"/>
                <w:sz w:val="20"/>
                <w:szCs w:val="20"/>
              </w:rPr>
              <w:t>Committee Approval)</w:t>
            </w:r>
          </w:p>
        </w:tc>
        <w:tc>
          <w:tcPr>
            <w:tcW w:w="0" w:type="auto"/>
          </w:tcPr>
          <w:p w14:paraId="7360A480" w14:textId="77777777" w:rsidR="00644103" w:rsidRPr="00135112" w:rsidRDefault="00644103" w:rsidP="00CA6ACE">
            <w:pPr>
              <w:jc w:val="both"/>
              <w:rPr>
                <w:rFonts w:ascii="Arial" w:hAnsi="Arial" w:cs="Arial"/>
                <w:sz w:val="20"/>
                <w:szCs w:val="20"/>
              </w:rPr>
            </w:pPr>
            <w:r w:rsidRPr="00135112">
              <w:rPr>
                <w:rFonts w:ascii="Arial" w:hAnsi="Arial" w:cs="Arial"/>
                <w:sz w:val="20"/>
                <w:szCs w:val="20"/>
              </w:rPr>
              <w:t>150</w:t>
            </w:r>
          </w:p>
          <w:p w14:paraId="1064F6F1" w14:textId="2F2D2E94" w:rsidR="00644103" w:rsidRPr="00135112" w:rsidRDefault="00644103" w:rsidP="00CA6ACE">
            <w:pPr>
              <w:jc w:val="both"/>
              <w:rPr>
                <w:rFonts w:ascii="Arial" w:hAnsi="Arial" w:cs="Arial"/>
                <w:sz w:val="20"/>
                <w:szCs w:val="20"/>
              </w:rPr>
            </w:pPr>
          </w:p>
        </w:tc>
      </w:tr>
    </w:tbl>
    <w:p w14:paraId="6C938131" w14:textId="3B792871" w:rsidR="00582B94" w:rsidRPr="00135112" w:rsidRDefault="00543D91" w:rsidP="00644103">
      <w:pPr>
        <w:jc w:val="both"/>
        <w:rPr>
          <w:rFonts w:ascii="Arial" w:hAnsi="Arial" w:cs="Arial"/>
          <w:sz w:val="20"/>
          <w:szCs w:val="20"/>
        </w:rPr>
      </w:pPr>
      <w:r w:rsidRPr="00135112">
        <w:rPr>
          <w:rFonts w:ascii="Arial" w:hAnsi="Arial" w:cs="Arial"/>
          <w:sz w:val="20"/>
          <w:szCs w:val="20"/>
        </w:rPr>
        <w:t>*Applies in the first year and then for agreements covering more than one year, and is charged per every complete year beyond the first year. For example, </w:t>
      </w:r>
      <w:r w:rsidR="009A7803" w:rsidRPr="00135112">
        <w:rPr>
          <w:rFonts w:ascii="Arial" w:hAnsi="Arial" w:cs="Arial"/>
          <w:sz w:val="20"/>
          <w:szCs w:val="20"/>
        </w:rPr>
        <w:t xml:space="preserve">additional payments will be required at 13 months and 25 months on review. </w:t>
      </w:r>
    </w:p>
    <w:p w14:paraId="5AA08B9D" w14:textId="77777777" w:rsidR="00F57723" w:rsidRPr="00135112" w:rsidRDefault="00F57723" w:rsidP="00F57723">
      <w:pPr>
        <w:pStyle w:val="ListParagraph"/>
        <w:rPr>
          <w:rFonts w:ascii="Arial" w:hAnsi="Arial" w:cs="Arial"/>
          <w:sz w:val="20"/>
          <w:szCs w:val="20"/>
        </w:rPr>
      </w:pPr>
    </w:p>
    <w:p w14:paraId="6EF8C0BD" w14:textId="3DC2CE3A" w:rsidR="00F57723" w:rsidRPr="00135112" w:rsidRDefault="00F57723" w:rsidP="009A7803">
      <w:pPr>
        <w:pStyle w:val="ListParagraph"/>
        <w:numPr>
          <w:ilvl w:val="0"/>
          <w:numId w:val="1"/>
        </w:numPr>
        <w:ind w:left="142"/>
        <w:jc w:val="both"/>
        <w:rPr>
          <w:rFonts w:ascii="Arial" w:hAnsi="Arial" w:cs="Arial"/>
          <w:sz w:val="20"/>
          <w:szCs w:val="20"/>
        </w:rPr>
      </w:pPr>
      <w:r w:rsidRPr="00135112">
        <w:rPr>
          <w:rFonts w:ascii="Arial" w:hAnsi="Arial" w:cs="Arial"/>
          <w:b/>
          <w:i/>
          <w:sz w:val="20"/>
          <w:szCs w:val="20"/>
        </w:rPr>
        <w:t>D</w:t>
      </w:r>
      <w:r w:rsidR="0016081B" w:rsidRPr="00135112">
        <w:rPr>
          <w:rFonts w:ascii="Arial" w:hAnsi="Arial" w:cs="Arial"/>
          <w:b/>
          <w:i/>
          <w:sz w:val="20"/>
          <w:szCs w:val="20"/>
        </w:rPr>
        <w:t>ata extraction</w:t>
      </w:r>
      <w:r w:rsidR="00EE246E" w:rsidRPr="00135112">
        <w:rPr>
          <w:rFonts w:ascii="Arial" w:hAnsi="Arial" w:cs="Arial"/>
          <w:b/>
          <w:i/>
          <w:sz w:val="20"/>
          <w:szCs w:val="20"/>
        </w:rPr>
        <w:t>/preparation</w:t>
      </w:r>
      <w:r w:rsidR="0016081B" w:rsidRPr="00135112">
        <w:rPr>
          <w:rFonts w:ascii="Arial" w:hAnsi="Arial" w:cs="Arial"/>
          <w:b/>
          <w:i/>
          <w:sz w:val="20"/>
          <w:szCs w:val="20"/>
        </w:rPr>
        <w:t xml:space="preserve"> costs</w:t>
      </w:r>
      <w:r w:rsidR="0044363A" w:rsidRPr="00135112">
        <w:rPr>
          <w:rFonts w:ascii="Arial" w:hAnsi="Arial" w:cs="Arial"/>
          <w:sz w:val="20"/>
          <w:szCs w:val="20"/>
        </w:rPr>
        <w:t>:</w:t>
      </w:r>
      <w:r w:rsidR="0016081B" w:rsidRPr="00135112">
        <w:rPr>
          <w:rFonts w:ascii="Arial" w:hAnsi="Arial" w:cs="Arial"/>
          <w:sz w:val="20"/>
          <w:szCs w:val="20"/>
        </w:rPr>
        <w:t xml:space="preserve"> This charge relates to the cost of extracting data from various s</w:t>
      </w:r>
      <w:r w:rsidR="009F3F44" w:rsidRPr="00135112">
        <w:rPr>
          <w:rFonts w:ascii="Arial" w:hAnsi="Arial" w:cs="Arial"/>
          <w:sz w:val="20"/>
          <w:szCs w:val="20"/>
        </w:rPr>
        <w:t>ystems</w:t>
      </w:r>
      <w:r w:rsidR="00EE246E" w:rsidRPr="00135112">
        <w:rPr>
          <w:rFonts w:ascii="Arial" w:hAnsi="Arial" w:cs="Arial"/>
          <w:sz w:val="20"/>
          <w:szCs w:val="20"/>
        </w:rPr>
        <w:t xml:space="preserve"> and preparing the datasets for user access in the safe setting</w:t>
      </w:r>
      <w:r w:rsidR="0016081B" w:rsidRPr="00135112">
        <w:rPr>
          <w:rFonts w:ascii="Arial" w:hAnsi="Arial" w:cs="Arial"/>
          <w:sz w:val="20"/>
          <w:szCs w:val="20"/>
        </w:rPr>
        <w:t>.</w:t>
      </w:r>
      <w:r w:rsidR="00F97EB4" w:rsidRPr="00135112">
        <w:rPr>
          <w:rFonts w:ascii="Arial" w:hAnsi="Arial" w:cs="Arial"/>
          <w:sz w:val="20"/>
          <w:szCs w:val="20"/>
        </w:rPr>
        <w:t xml:space="preserve"> The overall cost depends on</w:t>
      </w:r>
      <w:r w:rsidR="00C74472" w:rsidRPr="00135112">
        <w:rPr>
          <w:rFonts w:ascii="Arial" w:hAnsi="Arial" w:cs="Arial"/>
          <w:sz w:val="20"/>
          <w:szCs w:val="20"/>
        </w:rPr>
        <w:t xml:space="preserve"> a number of factors</w:t>
      </w:r>
      <w:r w:rsidR="00135112">
        <w:rPr>
          <w:rFonts w:ascii="Arial" w:hAnsi="Arial" w:cs="Arial"/>
          <w:sz w:val="20"/>
          <w:szCs w:val="20"/>
        </w:rPr>
        <w:t xml:space="preserve"> and will be up-rated over time due to salary cost increases. </w:t>
      </w:r>
    </w:p>
    <w:p w14:paraId="5806FD82" w14:textId="77777777" w:rsidR="00F57723" w:rsidRPr="00135112" w:rsidRDefault="00F57723" w:rsidP="00F57723">
      <w:pPr>
        <w:pStyle w:val="ListParagraph"/>
        <w:rPr>
          <w:rFonts w:ascii="Arial" w:hAnsi="Arial" w:cs="Arial"/>
          <w:sz w:val="20"/>
          <w:szCs w:val="20"/>
        </w:rPr>
      </w:pPr>
    </w:p>
    <w:p w14:paraId="1A24B8FE" w14:textId="0B7880F1" w:rsidR="00C74472" w:rsidRPr="00135112" w:rsidRDefault="00C74472" w:rsidP="00C74472">
      <w:pPr>
        <w:pStyle w:val="ListParagraph"/>
        <w:numPr>
          <w:ilvl w:val="0"/>
          <w:numId w:val="1"/>
        </w:numPr>
        <w:ind w:left="142"/>
        <w:jc w:val="both"/>
        <w:rPr>
          <w:rFonts w:ascii="Arial" w:hAnsi="Arial" w:cs="Arial"/>
          <w:sz w:val="20"/>
          <w:szCs w:val="20"/>
        </w:rPr>
      </w:pPr>
      <w:r w:rsidRPr="00135112">
        <w:rPr>
          <w:rFonts w:ascii="Arial" w:hAnsi="Arial" w:cs="Arial"/>
          <w:sz w:val="20"/>
          <w:szCs w:val="20"/>
        </w:rPr>
        <w:t>If data is being requested from other controllers (e.g.</w:t>
      </w:r>
      <w:r w:rsidR="007B4500" w:rsidRPr="00135112">
        <w:rPr>
          <w:rFonts w:ascii="Arial" w:hAnsi="Arial" w:cs="Arial"/>
          <w:sz w:val="20"/>
          <w:szCs w:val="20"/>
        </w:rPr>
        <w:t xml:space="preserve"> General Practice Intelligence Platform data or</w:t>
      </w:r>
      <w:r w:rsidRPr="00135112">
        <w:rPr>
          <w:rFonts w:ascii="Arial" w:hAnsi="Arial" w:cs="Arial"/>
          <w:sz w:val="20"/>
          <w:szCs w:val="20"/>
        </w:rPr>
        <w:t xml:space="preserve"> HSC Trusts) then they may choose to levy their own cost recovery in addition to HBS costs.</w:t>
      </w:r>
    </w:p>
    <w:p w14:paraId="34B276C8" w14:textId="77777777" w:rsidR="005D6B5B" w:rsidRPr="00135112" w:rsidRDefault="005D6B5B" w:rsidP="005D6B5B">
      <w:pPr>
        <w:pStyle w:val="ListParagraph"/>
        <w:rPr>
          <w:rFonts w:ascii="Arial" w:hAnsi="Arial" w:cs="Arial"/>
          <w:sz w:val="20"/>
          <w:szCs w:val="20"/>
        </w:rPr>
      </w:pPr>
    </w:p>
    <w:p w14:paraId="4453B942" w14:textId="233002DC" w:rsidR="00EE246E" w:rsidRPr="00135112" w:rsidRDefault="005D6B5B" w:rsidP="00EE246E">
      <w:pPr>
        <w:pStyle w:val="ListParagraph"/>
        <w:numPr>
          <w:ilvl w:val="0"/>
          <w:numId w:val="1"/>
        </w:numPr>
        <w:ind w:left="142"/>
        <w:jc w:val="both"/>
        <w:rPr>
          <w:rFonts w:ascii="Arial" w:hAnsi="Arial" w:cs="Arial"/>
          <w:sz w:val="20"/>
          <w:szCs w:val="20"/>
        </w:rPr>
      </w:pPr>
      <w:r w:rsidRPr="00135112">
        <w:rPr>
          <w:rFonts w:ascii="Arial" w:hAnsi="Arial" w:cs="Arial"/>
          <w:sz w:val="20"/>
          <w:szCs w:val="20"/>
        </w:rPr>
        <w:t>Data provided for project modifications requiring additional extraction will be costed in line with point 1</w:t>
      </w:r>
      <w:r w:rsidR="00135112">
        <w:rPr>
          <w:rFonts w:ascii="Arial" w:hAnsi="Arial" w:cs="Arial"/>
          <w:sz w:val="20"/>
          <w:szCs w:val="20"/>
        </w:rPr>
        <w:t>4</w:t>
      </w:r>
      <w:r w:rsidRPr="00135112">
        <w:rPr>
          <w:rFonts w:ascii="Arial" w:hAnsi="Arial" w:cs="Arial"/>
          <w:sz w:val="20"/>
          <w:szCs w:val="20"/>
        </w:rPr>
        <w:t>.</w:t>
      </w:r>
      <w:r w:rsidR="00EE246E" w:rsidRPr="00135112">
        <w:rPr>
          <w:rFonts w:ascii="Arial" w:hAnsi="Arial" w:cs="Arial"/>
          <w:sz w:val="20"/>
          <w:szCs w:val="20"/>
        </w:rPr>
        <w:t xml:space="preserve"> </w:t>
      </w:r>
    </w:p>
    <w:p w14:paraId="5AF6F895" w14:textId="77777777" w:rsidR="00EE246E" w:rsidRPr="00135112" w:rsidRDefault="00EE246E" w:rsidP="00EE246E">
      <w:pPr>
        <w:pStyle w:val="ListParagraph"/>
        <w:rPr>
          <w:rFonts w:ascii="Arial" w:hAnsi="Arial" w:cs="Arial"/>
          <w:sz w:val="20"/>
          <w:szCs w:val="20"/>
        </w:rPr>
      </w:pPr>
    </w:p>
    <w:p w14:paraId="203287DA" w14:textId="63359C97" w:rsidR="00624A32" w:rsidRPr="00135112" w:rsidRDefault="00EE246E" w:rsidP="00EE246E">
      <w:pPr>
        <w:pStyle w:val="ListParagraph"/>
        <w:numPr>
          <w:ilvl w:val="0"/>
          <w:numId w:val="1"/>
        </w:numPr>
        <w:ind w:left="142"/>
        <w:jc w:val="both"/>
        <w:rPr>
          <w:rFonts w:ascii="Arial" w:hAnsi="Arial" w:cs="Arial"/>
          <w:sz w:val="20"/>
          <w:szCs w:val="20"/>
        </w:rPr>
      </w:pPr>
      <w:r w:rsidRPr="00135112">
        <w:rPr>
          <w:rFonts w:ascii="Arial" w:hAnsi="Arial" w:cs="Arial"/>
          <w:sz w:val="20"/>
          <w:szCs w:val="20"/>
        </w:rPr>
        <w:t xml:space="preserve">Appendix 1 shows indicative costs based on complexity of project, HBS will provide a quote during the scoping phase of the project for inclusion in grant applications etc. The final cost will be provided with the submission of the completed HBS application and agreed variable list. </w:t>
      </w:r>
    </w:p>
    <w:p w14:paraId="408A9994" w14:textId="77777777" w:rsidR="00624A32" w:rsidRPr="00135112" w:rsidRDefault="00624A32" w:rsidP="00624A32">
      <w:pPr>
        <w:pStyle w:val="ListParagraph"/>
        <w:ind w:left="142"/>
        <w:jc w:val="both"/>
        <w:rPr>
          <w:rFonts w:ascii="Arial" w:hAnsi="Arial" w:cs="Arial"/>
          <w:sz w:val="20"/>
          <w:szCs w:val="20"/>
        </w:rPr>
      </w:pPr>
    </w:p>
    <w:p w14:paraId="20D8CA18" w14:textId="0E42E483" w:rsidR="009E10D6" w:rsidRPr="00135112" w:rsidRDefault="00C74472" w:rsidP="009E10D6">
      <w:pPr>
        <w:pStyle w:val="ListParagraph"/>
        <w:numPr>
          <w:ilvl w:val="0"/>
          <w:numId w:val="1"/>
        </w:numPr>
        <w:ind w:left="142"/>
        <w:jc w:val="both"/>
        <w:rPr>
          <w:rFonts w:ascii="Arial" w:hAnsi="Arial" w:cs="Arial"/>
          <w:sz w:val="20"/>
          <w:szCs w:val="20"/>
        </w:rPr>
      </w:pPr>
      <w:r w:rsidRPr="00135112">
        <w:rPr>
          <w:rFonts w:ascii="Arial" w:hAnsi="Arial" w:cs="Arial"/>
          <w:b/>
          <w:i/>
          <w:sz w:val="20"/>
          <w:szCs w:val="20"/>
        </w:rPr>
        <w:t>Staff resource costs</w:t>
      </w:r>
      <w:r w:rsidRPr="00135112">
        <w:rPr>
          <w:rFonts w:ascii="Arial" w:hAnsi="Arial" w:cs="Arial"/>
          <w:i/>
          <w:sz w:val="20"/>
          <w:szCs w:val="20"/>
        </w:rPr>
        <w:t>:</w:t>
      </w:r>
      <w:r w:rsidRPr="00135112">
        <w:rPr>
          <w:rFonts w:ascii="Arial" w:hAnsi="Arial" w:cs="Arial"/>
          <w:sz w:val="20"/>
          <w:szCs w:val="20"/>
        </w:rPr>
        <w:t xml:space="preserve"> This charge covers the cost of </w:t>
      </w:r>
      <w:r w:rsidR="00F96C3E" w:rsidRPr="00135112">
        <w:rPr>
          <w:rFonts w:ascii="Arial" w:hAnsi="Arial" w:cs="Arial"/>
          <w:sz w:val="20"/>
          <w:szCs w:val="20"/>
        </w:rPr>
        <w:t>the HBS</w:t>
      </w:r>
      <w:r w:rsidRPr="00135112">
        <w:rPr>
          <w:rFonts w:ascii="Arial" w:hAnsi="Arial" w:cs="Arial"/>
          <w:sz w:val="20"/>
          <w:szCs w:val="20"/>
        </w:rPr>
        <w:t xml:space="preserve"> team support for individual projects (e.g., import / linkage of data, data refreshe</w:t>
      </w:r>
      <w:r w:rsidR="009E10D6" w:rsidRPr="00135112">
        <w:rPr>
          <w:rFonts w:ascii="Arial" w:hAnsi="Arial" w:cs="Arial"/>
          <w:sz w:val="20"/>
          <w:szCs w:val="20"/>
        </w:rPr>
        <w:t>s</w:t>
      </w:r>
      <w:r w:rsidRPr="00135112">
        <w:rPr>
          <w:rFonts w:ascii="Arial" w:hAnsi="Arial" w:cs="Arial"/>
          <w:sz w:val="20"/>
          <w:szCs w:val="20"/>
        </w:rPr>
        <w:t xml:space="preserve"> etc.)</w:t>
      </w:r>
      <w:r w:rsidR="009A7803" w:rsidRPr="00135112">
        <w:rPr>
          <w:rFonts w:ascii="Arial" w:hAnsi="Arial" w:cs="Arial"/>
          <w:sz w:val="20"/>
          <w:szCs w:val="20"/>
        </w:rPr>
        <w:t>. Certain special projects involving data matching etc will require cost estimates to be provided based on Full Economic Cost for supporting the project.</w:t>
      </w:r>
      <w:r w:rsidR="00B74224" w:rsidRPr="00135112">
        <w:rPr>
          <w:rFonts w:ascii="Arial" w:hAnsi="Arial" w:cs="Arial"/>
          <w:sz w:val="20"/>
          <w:szCs w:val="20"/>
        </w:rPr>
        <w:t xml:space="preserve"> This also applies to project modification requests requiring significant staff input, for example full data refreshes or adding additional datasets. </w:t>
      </w:r>
    </w:p>
    <w:p w14:paraId="37CDB217" w14:textId="77777777" w:rsidR="009E10D6" w:rsidRPr="00135112" w:rsidRDefault="009E10D6" w:rsidP="009E10D6">
      <w:pPr>
        <w:pStyle w:val="ListParagraph"/>
        <w:rPr>
          <w:rFonts w:ascii="Arial" w:hAnsi="Arial" w:cs="Arial"/>
          <w:sz w:val="20"/>
          <w:szCs w:val="20"/>
        </w:rPr>
      </w:pPr>
    </w:p>
    <w:p w14:paraId="4EACDCE6" w14:textId="3A3AEA1B" w:rsidR="009E10D6" w:rsidRPr="00135112" w:rsidRDefault="009E10D6" w:rsidP="009E10D6">
      <w:pPr>
        <w:pStyle w:val="ListParagraph"/>
        <w:numPr>
          <w:ilvl w:val="0"/>
          <w:numId w:val="1"/>
        </w:numPr>
        <w:ind w:left="142"/>
        <w:jc w:val="both"/>
        <w:rPr>
          <w:rFonts w:ascii="Arial" w:hAnsi="Arial" w:cs="Arial"/>
          <w:sz w:val="20"/>
          <w:szCs w:val="20"/>
        </w:rPr>
      </w:pPr>
      <w:r w:rsidRPr="00135112">
        <w:rPr>
          <w:rFonts w:ascii="Arial" w:hAnsi="Arial" w:cs="Arial"/>
          <w:b/>
          <w:i/>
          <w:sz w:val="20"/>
          <w:szCs w:val="20"/>
        </w:rPr>
        <w:t>Extra technology costs</w:t>
      </w:r>
      <w:r w:rsidRPr="00135112">
        <w:rPr>
          <w:rFonts w:ascii="Arial" w:hAnsi="Arial" w:cs="Arial"/>
          <w:i/>
          <w:sz w:val="20"/>
          <w:szCs w:val="20"/>
        </w:rPr>
        <w:t>:</w:t>
      </w:r>
      <w:r w:rsidRPr="00135112">
        <w:rPr>
          <w:rFonts w:ascii="Arial" w:hAnsi="Arial" w:cs="Arial"/>
          <w:sz w:val="20"/>
          <w:szCs w:val="20"/>
        </w:rPr>
        <w:t xml:space="preserve"> This charge covers the cost of any additional hardware, software or licences required by individual projects. </w:t>
      </w:r>
    </w:p>
    <w:p w14:paraId="3C25C130" w14:textId="77777777" w:rsidR="00F57723" w:rsidRPr="00135112" w:rsidRDefault="00F57723" w:rsidP="00F57723">
      <w:pPr>
        <w:pStyle w:val="ListParagraph"/>
        <w:rPr>
          <w:rFonts w:ascii="Arial" w:hAnsi="Arial" w:cs="Arial"/>
          <w:sz w:val="20"/>
          <w:szCs w:val="20"/>
        </w:rPr>
      </w:pPr>
    </w:p>
    <w:p w14:paraId="5951DB2A" w14:textId="77777777" w:rsidR="00180278" w:rsidRPr="00135112" w:rsidRDefault="00180278" w:rsidP="00180278">
      <w:pPr>
        <w:pStyle w:val="ListParagraph"/>
        <w:rPr>
          <w:rFonts w:ascii="Arial" w:hAnsi="Arial" w:cs="Arial"/>
          <w:sz w:val="20"/>
          <w:szCs w:val="20"/>
        </w:rPr>
      </w:pPr>
    </w:p>
    <w:p w14:paraId="5015A9B1" w14:textId="2EDEDEDF" w:rsidR="00180278" w:rsidRPr="00135112" w:rsidRDefault="00180278" w:rsidP="00180278">
      <w:pPr>
        <w:pStyle w:val="ListParagraph"/>
        <w:ind w:left="142"/>
        <w:jc w:val="both"/>
        <w:rPr>
          <w:rFonts w:ascii="Arial" w:hAnsi="Arial" w:cs="Arial"/>
          <w:b/>
        </w:rPr>
      </w:pPr>
      <w:r w:rsidRPr="00135112">
        <w:rPr>
          <w:rFonts w:ascii="Arial" w:hAnsi="Arial" w:cs="Arial"/>
          <w:b/>
        </w:rPr>
        <w:t>Definition of the SeRP desktop packages</w:t>
      </w:r>
    </w:p>
    <w:p w14:paraId="3718D68C" w14:textId="77777777" w:rsidR="00180278" w:rsidRPr="00135112" w:rsidRDefault="00180278" w:rsidP="00180278">
      <w:pPr>
        <w:pStyle w:val="ListParagraph"/>
        <w:ind w:left="142"/>
        <w:jc w:val="both"/>
        <w:rPr>
          <w:rFonts w:ascii="Arial" w:hAnsi="Arial" w:cs="Arial"/>
        </w:rPr>
      </w:pPr>
    </w:p>
    <w:p w14:paraId="6A1BCA15" w14:textId="77777777" w:rsidR="00180278" w:rsidRPr="00135112" w:rsidRDefault="00180278" w:rsidP="00180278">
      <w:pPr>
        <w:pStyle w:val="ListParagraph"/>
        <w:numPr>
          <w:ilvl w:val="0"/>
          <w:numId w:val="1"/>
        </w:numPr>
        <w:ind w:left="142"/>
        <w:jc w:val="both"/>
        <w:rPr>
          <w:rFonts w:ascii="Arial" w:hAnsi="Arial" w:cs="Arial"/>
          <w:sz w:val="20"/>
          <w:szCs w:val="20"/>
        </w:rPr>
      </w:pPr>
      <w:r w:rsidRPr="00135112">
        <w:rPr>
          <w:rFonts w:ascii="Arial" w:hAnsi="Arial" w:cs="Arial"/>
          <w:sz w:val="20"/>
          <w:szCs w:val="20"/>
        </w:rPr>
        <w:t>The collaboration agreement with Swansea University for provision of the HBS tenancy of the UK Secure e-Research Platform (SeRP) includes a number of floating desktops.</w:t>
      </w:r>
    </w:p>
    <w:p w14:paraId="47247F37" w14:textId="77777777" w:rsidR="00180278" w:rsidRPr="00135112" w:rsidRDefault="00180278" w:rsidP="00180278">
      <w:pPr>
        <w:pStyle w:val="ListParagraph"/>
        <w:ind w:left="142"/>
        <w:jc w:val="both"/>
        <w:rPr>
          <w:rFonts w:ascii="Arial" w:hAnsi="Arial" w:cs="Arial"/>
          <w:sz w:val="20"/>
          <w:szCs w:val="20"/>
        </w:rPr>
      </w:pPr>
    </w:p>
    <w:p w14:paraId="5E3136EC" w14:textId="77777777" w:rsidR="00180278" w:rsidRPr="00135112" w:rsidRDefault="00180278" w:rsidP="00180278">
      <w:pPr>
        <w:pStyle w:val="ListParagraph"/>
        <w:numPr>
          <w:ilvl w:val="0"/>
          <w:numId w:val="1"/>
        </w:numPr>
        <w:ind w:left="142"/>
        <w:jc w:val="both"/>
        <w:rPr>
          <w:rFonts w:ascii="Arial" w:hAnsi="Arial" w:cs="Arial"/>
          <w:sz w:val="20"/>
          <w:szCs w:val="20"/>
        </w:rPr>
      </w:pPr>
      <w:r w:rsidRPr="00135112">
        <w:rPr>
          <w:rFonts w:ascii="Arial" w:hAnsi="Arial" w:cs="Arial"/>
          <w:sz w:val="20"/>
          <w:szCs w:val="20"/>
        </w:rPr>
        <w:t>There are a number of standard desktops, desktops including STATA licenses and a number of “Large” desktops which provide additional processing power.</w:t>
      </w:r>
    </w:p>
    <w:p w14:paraId="2114E2B0" w14:textId="77777777" w:rsidR="00180278" w:rsidRPr="00135112" w:rsidRDefault="00180278" w:rsidP="00180278">
      <w:pPr>
        <w:pStyle w:val="ListParagraph"/>
        <w:rPr>
          <w:rFonts w:ascii="Arial" w:hAnsi="Arial" w:cs="Arial"/>
          <w:sz w:val="20"/>
          <w:szCs w:val="20"/>
        </w:rPr>
      </w:pPr>
    </w:p>
    <w:p w14:paraId="39494371" w14:textId="77777777" w:rsidR="00180278" w:rsidRPr="00135112" w:rsidRDefault="00180278" w:rsidP="00180278">
      <w:pPr>
        <w:pStyle w:val="ListParagraph"/>
        <w:numPr>
          <w:ilvl w:val="0"/>
          <w:numId w:val="1"/>
        </w:numPr>
        <w:ind w:left="142"/>
        <w:jc w:val="both"/>
        <w:rPr>
          <w:rFonts w:ascii="Arial" w:hAnsi="Arial" w:cs="Arial"/>
          <w:sz w:val="20"/>
          <w:szCs w:val="20"/>
        </w:rPr>
      </w:pPr>
      <w:r w:rsidRPr="00135112">
        <w:rPr>
          <w:rFonts w:ascii="Arial" w:hAnsi="Arial" w:cs="Arial"/>
          <w:sz w:val="20"/>
          <w:szCs w:val="20"/>
        </w:rPr>
        <w:t>The HBS team will assign researchers to these as required.</w:t>
      </w:r>
    </w:p>
    <w:p w14:paraId="4AAD2728" w14:textId="77777777" w:rsidR="00180278" w:rsidRPr="00135112" w:rsidRDefault="00180278" w:rsidP="00180278">
      <w:pPr>
        <w:pStyle w:val="ListParagraph"/>
        <w:rPr>
          <w:rFonts w:ascii="Arial" w:hAnsi="Arial" w:cs="Arial"/>
          <w:sz w:val="20"/>
          <w:szCs w:val="20"/>
        </w:rPr>
      </w:pPr>
    </w:p>
    <w:p w14:paraId="6FC412F4" w14:textId="77777777" w:rsidR="00180278" w:rsidRPr="00135112" w:rsidRDefault="00180278" w:rsidP="00180278">
      <w:pPr>
        <w:pStyle w:val="ListParagraph"/>
        <w:numPr>
          <w:ilvl w:val="0"/>
          <w:numId w:val="1"/>
        </w:numPr>
        <w:ind w:left="142"/>
        <w:jc w:val="both"/>
        <w:rPr>
          <w:rFonts w:ascii="Arial" w:hAnsi="Arial" w:cs="Arial"/>
          <w:sz w:val="20"/>
          <w:szCs w:val="20"/>
        </w:rPr>
      </w:pPr>
      <w:r w:rsidRPr="00135112">
        <w:rPr>
          <w:rFonts w:ascii="Arial" w:hAnsi="Arial" w:cs="Arial"/>
          <w:sz w:val="20"/>
          <w:szCs w:val="20"/>
        </w:rPr>
        <w:t>If a project has specific requirement for software that requires additional licensing they can discuss this with the HBS team and they will liaise with the SeRP technical team to see if the software can be provided. It is possible to apply your own licenses if these have been purchased in advance.</w:t>
      </w:r>
    </w:p>
    <w:p w14:paraId="50180A48" w14:textId="77777777" w:rsidR="00180278" w:rsidRPr="00135112" w:rsidRDefault="00180278" w:rsidP="00180278">
      <w:pPr>
        <w:pStyle w:val="ListParagraph"/>
        <w:rPr>
          <w:rFonts w:ascii="Arial" w:hAnsi="Arial" w:cs="Arial"/>
          <w:sz w:val="20"/>
          <w:szCs w:val="20"/>
        </w:rPr>
      </w:pPr>
    </w:p>
    <w:p w14:paraId="454F5EDF" w14:textId="77777777" w:rsidR="00180278" w:rsidRPr="00135112" w:rsidRDefault="00180278" w:rsidP="00180278">
      <w:pPr>
        <w:pStyle w:val="ListParagraph"/>
        <w:ind w:left="142"/>
        <w:jc w:val="both"/>
        <w:rPr>
          <w:rFonts w:ascii="Arial" w:hAnsi="Arial" w:cs="Arial"/>
          <w:sz w:val="20"/>
          <w:szCs w:val="20"/>
        </w:rPr>
      </w:pPr>
      <w:r w:rsidRPr="00135112">
        <w:rPr>
          <w:rFonts w:ascii="Arial" w:hAnsi="Arial" w:cs="Arial"/>
          <w:b/>
          <w:sz w:val="20"/>
          <w:szCs w:val="20"/>
        </w:rPr>
        <w:t>Standard SeRP User account:</w:t>
      </w:r>
      <w:r w:rsidRPr="00135112">
        <w:rPr>
          <w:rFonts w:ascii="Arial" w:hAnsi="Arial" w:cs="Arial"/>
          <w:sz w:val="20"/>
          <w:szCs w:val="20"/>
        </w:rPr>
        <w:t xml:space="preserve"> includes a 4-core processor, 16 GB RAM, and Windows operating system. The package comprises 50 GB of file storage. Software licences included are, SPSS, R, Eclipse, </w:t>
      </w:r>
      <w:proofErr w:type="spellStart"/>
      <w:r w:rsidRPr="00135112">
        <w:rPr>
          <w:rFonts w:ascii="Arial" w:hAnsi="Arial" w:cs="Arial"/>
          <w:sz w:val="20"/>
          <w:szCs w:val="20"/>
        </w:rPr>
        <w:t>DBeaver</w:t>
      </w:r>
      <w:proofErr w:type="spellEnd"/>
      <w:r w:rsidRPr="00135112">
        <w:rPr>
          <w:rFonts w:ascii="Arial" w:hAnsi="Arial" w:cs="Arial"/>
          <w:sz w:val="20"/>
          <w:szCs w:val="20"/>
        </w:rPr>
        <w:t xml:space="preserve"> and MS Office (As mentioned there are a number of specific desktops with STATA licenses).</w:t>
      </w:r>
    </w:p>
    <w:p w14:paraId="10F76E60" w14:textId="77777777" w:rsidR="00180278" w:rsidRPr="00135112" w:rsidRDefault="00180278" w:rsidP="00180278">
      <w:pPr>
        <w:pStyle w:val="ListParagraph"/>
        <w:ind w:left="142"/>
        <w:jc w:val="both"/>
        <w:rPr>
          <w:rFonts w:ascii="Arial" w:hAnsi="Arial" w:cs="Arial"/>
          <w:sz w:val="20"/>
          <w:szCs w:val="20"/>
        </w:rPr>
      </w:pPr>
    </w:p>
    <w:p w14:paraId="7F5218C9" w14:textId="4EEB81EA" w:rsidR="00180278" w:rsidRPr="00135112" w:rsidRDefault="00180278" w:rsidP="00180278">
      <w:pPr>
        <w:pStyle w:val="ListParagraph"/>
        <w:ind w:left="142"/>
        <w:jc w:val="both"/>
        <w:rPr>
          <w:rFonts w:ascii="Arial" w:hAnsi="Arial" w:cs="Arial"/>
          <w:sz w:val="20"/>
          <w:szCs w:val="20"/>
        </w:rPr>
      </w:pPr>
      <w:r w:rsidRPr="00135112">
        <w:rPr>
          <w:rFonts w:ascii="Arial" w:hAnsi="Arial" w:cs="Arial"/>
          <w:b/>
          <w:bCs/>
          <w:sz w:val="20"/>
          <w:szCs w:val="20"/>
        </w:rPr>
        <w:t xml:space="preserve">SeRP User account with large specification desktop: </w:t>
      </w:r>
      <w:r w:rsidRPr="00135112">
        <w:rPr>
          <w:rFonts w:ascii="Arial" w:hAnsi="Arial" w:cs="Arial"/>
          <w:sz w:val="20"/>
          <w:szCs w:val="20"/>
        </w:rPr>
        <w:t xml:space="preserve">this includes an 8-core processor, 32 GB RAM and Windows operating system. The package comprises 50 GB of file storage. Software licences included are, SAS, SPSS, R, Eclipse, </w:t>
      </w:r>
      <w:proofErr w:type="spellStart"/>
      <w:r w:rsidRPr="00135112">
        <w:rPr>
          <w:rFonts w:ascii="Arial" w:hAnsi="Arial" w:cs="Arial"/>
          <w:sz w:val="20"/>
          <w:szCs w:val="20"/>
        </w:rPr>
        <w:t>DBeaver</w:t>
      </w:r>
      <w:proofErr w:type="spellEnd"/>
      <w:r w:rsidRPr="00135112">
        <w:rPr>
          <w:rFonts w:ascii="Arial" w:hAnsi="Arial" w:cs="Arial"/>
          <w:sz w:val="20"/>
          <w:szCs w:val="20"/>
        </w:rPr>
        <w:t xml:space="preserve"> and MS Office.</w:t>
      </w:r>
    </w:p>
    <w:p w14:paraId="3BE3CBAB" w14:textId="77777777" w:rsidR="00180278" w:rsidRPr="00135112" w:rsidRDefault="00180278" w:rsidP="00180278">
      <w:pPr>
        <w:pStyle w:val="ListParagraph"/>
        <w:ind w:left="142"/>
        <w:jc w:val="both"/>
        <w:rPr>
          <w:rFonts w:ascii="Arial" w:hAnsi="Arial" w:cs="Arial"/>
          <w:sz w:val="20"/>
          <w:szCs w:val="20"/>
        </w:rPr>
      </w:pPr>
    </w:p>
    <w:p w14:paraId="0B8DD4E7" w14:textId="6FD2541E" w:rsidR="00180278" w:rsidRPr="00135112" w:rsidRDefault="00180278" w:rsidP="00180278">
      <w:pPr>
        <w:pStyle w:val="ListParagraph"/>
        <w:numPr>
          <w:ilvl w:val="0"/>
          <w:numId w:val="1"/>
        </w:numPr>
        <w:ind w:left="142"/>
        <w:jc w:val="both"/>
        <w:rPr>
          <w:rFonts w:ascii="Arial" w:hAnsi="Arial" w:cs="Arial"/>
          <w:sz w:val="20"/>
          <w:szCs w:val="20"/>
        </w:rPr>
      </w:pPr>
      <w:r w:rsidRPr="00135112">
        <w:rPr>
          <w:rFonts w:ascii="Arial" w:hAnsi="Arial" w:cs="Arial"/>
          <w:sz w:val="20"/>
          <w:szCs w:val="20"/>
        </w:rPr>
        <w:t>It is possible to purchase additional “</w:t>
      </w:r>
      <w:r w:rsidR="007B4500" w:rsidRPr="00135112">
        <w:rPr>
          <w:rFonts w:ascii="Arial" w:hAnsi="Arial" w:cs="Arial"/>
          <w:sz w:val="20"/>
          <w:szCs w:val="20"/>
        </w:rPr>
        <w:t>extra-large</w:t>
      </w:r>
      <w:r w:rsidRPr="00135112">
        <w:rPr>
          <w:rFonts w:ascii="Arial" w:hAnsi="Arial" w:cs="Arial"/>
          <w:sz w:val="20"/>
          <w:szCs w:val="20"/>
        </w:rPr>
        <w:t xml:space="preserve">” SeRP desktops however none of these are included in </w:t>
      </w:r>
      <w:r w:rsidR="00862686" w:rsidRPr="00135112">
        <w:rPr>
          <w:rFonts w:ascii="Arial" w:hAnsi="Arial" w:cs="Arial"/>
          <w:sz w:val="20"/>
          <w:szCs w:val="20"/>
        </w:rPr>
        <w:t>t</w:t>
      </w:r>
      <w:r w:rsidRPr="00135112">
        <w:rPr>
          <w:rFonts w:ascii="Arial" w:hAnsi="Arial" w:cs="Arial"/>
          <w:sz w:val="20"/>
          <w:szCs w:val="20"/>
        </w:rPr>
        <w:t xml:space="preserve">he current Collaboration Agreement. The specifications for these are below. </w:t>
      </w:r>
    </w:p>
    <w:p w14:paraId="5B2D5B63" w14:textId="77777777" w:rsidR="00180278" w:rsidRPr="00135112" w:rsidRDefault="00180278" w:rsidP="00180278">
      <w:pPr>
        <w:autoSpaceDE w:val="0"/>
        <w:autoSpaceDN w:val="0"/>
        <w:adjustRightInd w:val="0"/>
        <w:spacing w:after="0" w:line="240" w:lineRule="auto"/>
        <w:rPr>
          <w:rFonts w:ascii="Arial" w:hAnsi="Arial" w:cs="Arial"/>
          <w:b/>
          <w:bCs/>
          <w:sz w:val="20"/>
          <w:szCs w:val="20"/>
        </w:rPr>
      </w:pPr>
    </w:p>
    <w:p w14:paraId="7617CB04" w14:textId="176DC48D" w:rsidR="00180278" w:rsidRPr="00135112" w:rsidRDefault="00180278" w:rsidP="00180278">
      <w:pPr>
        <w:autoSpaceDE w:val="0"/>
        <w:autoSpaceDN w:val="0"/>
        <w:adjustRightInd w:val="0"/>
        <w:spacing w:after="0" w:line="240" w:lineRule="auto"/>
        <w:rPr>
          <w:rFonts w:ascii="Arial" w:hAnsi="Arial" w:cs="Arial"/>
          <w:sz w:val="20"/>
          <w:szCs w:val="20"/>
        </w:rPr>
      </w:pPr>
      <w:r w:rsidRPr="00135112">
        <w:rPr>
          <w:rFonts w:ascii="Arial" w:hAnsi="Arial" w:cs="Arial"/>
          <w:b/>
          <w:bCs/>
          <w:sz w:val="20"/>
          <w:szCs w:val="20"/>
        </w:rPr>
        <w:t xml:space="preserve">SAIL User account with </w:t>
      </w:r>
      <w:proofErr w:type="spellStart"/>
      <w:r w:rsidRPr="00135112">
        <w:rPr>
          <w:rFonts w:ascii="Arial" w:hAnsi="Arial" w:cs="Arial"/>
          <w:b/>
          <w:bCs/>
          <w:sz w:val="20"/>
          <w:szCs w:val="20"/>
        </w:rPr>
        <w:t>extra large</w:t>
      </w:r>
      <w:proofErr w:type="spellEnd"/>
      <w:r w:rsidRPr="00135112">
        <w:rPr>
          <w:rFonts w:ascii="Arial" w:hAnsi="Arial" w:cs="Arial"/>
          <w:b/>
          <w:bCs/>
          <w:sz w:val="20"/>
          <w:szCs w:val="20"/>
        </w:rPr>
        <w:t xml:space="preserve"> specification desktop </w:t>
      </w:r>
      <w:r w:rsidRPr="00135112">
        <w:rPr>
          <w:rFonts w:ascii="Arial" w:eastAsia="Arial" w:hAnsi="Arial" w:cs="Arial" w:hint="eastAsia"/>
          <w:sz w:val="20"/>
          <w:szCs w:val="20"/>
        </w:rPr>
        <w:t>􀍴</w:t>
      </w:r>
      <w:r w:rsidRPr="00135112">
        <w:rPr>
          <w:rFonts w:ascii="Arial" w:hAnsi="Arial" w:cs="Arial"/>
          <w:sz w:val="20"/>
          <w:szCs w:val="20"/>
        </w:rPr>
        <w:t xml:space="preserve"> includes a 16-core processor, 128 GB RAM and Windows operating system. The package comprises 50 GB of file storage. Software licences included are Stata MP, SAS, SPSS, R, Eclipse, </w:t>
      </w:r>
      <w:proofErr w:type="spellStart"/>
      <w:r w:rsidRPr="00135112">
        <w:rPr>
          <w:rFonts w:ascii="Arial" w:hAnsi="Arial" w:cs="Arial"/>
          <w:sz w:val="20"/>
          <w:szCs w:val="20"/>
        </w:rPr>
        <w:t>DBeaver</w:t>
      </w:r>
      <w:proofErr w:type="spellEnd"/>
      <w:r w:rsidRPr="00135112">
        <w:rPr>
          <w:rFonts w:ascii="Arial" w:hAnsi="Arial" w:cs="Arial"/>
          <w:sz w:val="20"/>
          <w:szCs w:val="20"/>
        </w:rPr>
        <w:t xml:space="preserve"> and MS Office. </w:t>
      </w:r>
    </w:p>
    <w:p w14:paraId="691A071F" w14:textId="77777777" w:rsidR="00180278" w:rsidRPr="00135112" w:rsidRDefault="00180278" w:rsidP="00180278">
      <w:pPr>
        <w:autoSpaceDE w:val="0"/>
        <w:autoSpaceDN w:val="0"/>
        <w:adjustRightInd w:val="0"/>
        <w:spacing w:after="0" w:line="240" w:lineRule="auto"/>
        <w:rPr>
          <w:rFonts w:ascii="Arial" w:hAnsi="Arial" w:cs="Arial"/>
          <w:sz w:val="20"/>
          <w:szCs w:val="20"/>
        </w:rPr>
      </w:pPr>
    </w:p>
    <w:p w14:paraId="2E9305CA" w14:textId="2FF2D7A1" w:rsidR="00180278" w:rsidRPr="00135112" w:rsidRDefault="00180278" w:rsidP="00180278">
      <w:pPr>
        <w:pStyle w:val="ListParagraph"/>
        <w:numPr>
          <w:ilvl w:val="0"/>
          <w:numId w:val="1"/>
        </w:numPr>
        <w:ind w:left="142"/>
        <w:jc w:val="both"/>
        <w:rPr>
          <w:rFonts w:ascii="Arial" w:hAnsi="Arial" w:cs="Arial"/>
          <w:sz w:val="20"/>
          <w:szCs w:val="20"/>
        </w:rPr>
      </w:pPr>
      <w:r w:rsidRPr="00135112">
        <w:rPr>
          <w:rFonts w:ascii="Arial" w:hAnsi="Arial" w:cs="Arial"/>
          <w:sz w:val="20"/>
          <w:szCs w:val="20"/>
        </w:rPr>
        <w:t xml:space="preserve">A fair use policy applies. The collaboration agreement is based on a number of floating desktop licenses across all users, if a project has a very large study team additional charges may apply. The same applies for data storage, which is outlined below. </w:t>
      </w:r>
    </w:p>
    <w:p w14:paraId="58A353F2" w14:textId="54E50566" w:rsidR="009E10D6" w:rsidRPr="00135112" w:rsidRDefault="009E10D6" w:rsidP="009E10D6">
      <w:pPr>
        <w:pStyle w:val="Default"/>
        <w:rPr>
          <w:rFonts w:ascii="Arial" w:hAnsi="Arial" w:cs="Arial"/>
          <w:sz w:val="20"/>
          <w:szCs w:val="20"/>
        </w:rPr>
      </w:pPr>
    </w:p>
    <w:p w14:paraId="710CF95C" w14:textId="77777777" w:rsidR="00E4385A" w:rsidRPr="00135112" w:rsidRDefault="00E4385A" w:rsidP="009E10D6">
      <w:pPr>
        <w:pStyle w:val="Default"/>
        <w:rPr>
          <w:rFonts w:ascii="Arial" w:hAnsi="Arial" w:cs="Arial"/>
          <w:sz w:val="20"/>
          <w:szCs w:val="20"/>
        </w:rPr>
      </w:pPr>
    </w:p>
    <w:p w14:paraId="24EA4E44" w14:textId="1246F75C" w:rsidR="009E10D6" w:rsidRPr="00135112" w:rsidRDefault="00BF576D" w:rsidP="0044363A">
      <w:pPr>
        <w:jc w:val="both"/>
        <w:rPr>
          <w:rFonts w:ascii="Arial" w:hAnsi="Arial" w:cs="Arial"/>
          <w:b/>
          <w:sz w:val="20"/>
          <w:szCs w:val="20"/>
        </w:rPr>
      </w:pPr>
      <w:r w:rsidRPr="00135112">
        <w:rPr>
          <w:rFonts w:ascii="Arial" w:hAnsi="Arial" w:cs="Arial"/>
          <w:b/>
          <w:sz w:val="20"/>
          <w:szCs w:val="20"/>
        </w:rPr>
        <w:t>Data Storage Acceptable Use Policy (AUP</w:t>
      </w:r>
      <w:r w:rsidR="00180278" w:rsidRPr="00135112">
        <w:rPr>
          <w:rFonts w:ascii="Arial" w:hAnsi="Arial" w:cs="Arial"/>
          <w:b/>
          <w:sz w:val="20"/>
          <w:szCs w:val="20"/>
        </w:rPr>
        <w:t>)</w:t>
      </w:r>
    </w:p>
    <w:p w14:paraId="277356A3" w14:textId="77777777" w:rsidR="00BF576D" w:rsidRPr="00135112" w:rsidRDefault="00BF576D" w:rsidP="009E10D6">
      <w:pPr>
        <w:pStyle w:val="Default"/>
        <w:rPr>
          <w:rFonts w:ascii="Arial" w:hAnsi="Arial" w:cs="Arial"/>
        </w:rPr>
      </w:pPr>
    </w:p>
    <w:p w14:paraId="21A0DB25" w14:textId="67230B20" w:rsidR="00BF576D" w:rsidRPr="00135112" w:rsidRDefault="009E10D6" w:rsidP="009E10D6">
      <w:pPr>
        <w:pStyle w:val="ListParagraph"/>
        <w:numPr>
          <w:ilvl w:val="0"/>
          <w:numId w:val="1"/>
        </w:numPr>
        <w:ind w:left="142"/>
        <w:jc w:val="both"/>
        <w:rPr>
          <w:rFonts w:ascii="Arial" w:hAnsi="Arial" w:cs="Arial"/>
          <w:sz w:val="20"/>
          <w:szCs w:val="20"/>
        </w:rPr>
      </w:pPr>
      <w:r w:rsidRPr="00135112">
        <w:rPr>
          <w:rFonts w:ascii="Arial" w:hAnsi="Arial" w:cs="Arial"/>
          <w:sz w:val="20"/>
          <w:szCs w:val="20"/>
        </w:rPr>
        <w:t xml:space="preserve">As part of each </w:t>
      </w:r>
      <w:r w:rsidR="00BF576D" w:rsidRPr="00135112">
        <w:rPr>
          <w:rFonts w:ascii="Arial" w:hAnsi="Arial" w:cs="Arial"/>
          <w:sz w:val="20"/>
          <w:szCs w:val="20"/>
        </w:rPr>
        <w:t>HBS</w:t>
      </w:r>
      <w:r w:rsidRPr="00135112">
        <w:rPr>
          <w:rFonts w:ascii="Arial" w:hAnsi="Arial" w:cs="Arial"/>
          <w:sz w:val="20"/>
          <w:szCs w:val="20"/>
        </w:rPr>
        <w:t xml:space="preserve"> project, file storage of up to two and a half times the size of the project source data will be provided as standard. This storage is provided to enable researchers to work with the data provided (and make copies for analysis) and where relevant, will be where project specific data is stored. It is the project team’s responsibility to ensure any data stored is managed within these data storage allowances. </w:t>
      </w:r>
    </w:p>
    <w:p w14:paraId="3743FC69" w14:textId="77777777" w:rsidR="00BF576D" w:rsidRPr="00135112" w:rsidRDefault="00BF576D" w:rsidP="00BF576D">
      <w:pPr>
        <w:pStyle w:val="ListParagraph"/>
        <w:ind w:left="142"/>
        <w:jc w:val="both"/>
        <w:rPr>
          <w:rFonts w:ascii="Arial" w:hAnsi="Arial" w:cs="Arial"/>
          <w:sz w:val="20"/>
          <w:szCs w:val="20"/>
        </w:rPr>
      </w:pPr>
    </w:p>
    <w:p w14:paraId="444B3C6C" w14:textId="430DFB83" w:rsidR="009E10D6" w:rsidRPr="00135112" w:rsidRDefault="009E10D6" w:rsidP="009E10D6">
      <w:pPr>
        <w:pStyle w:val="ListParagraph"/>
        <w:numPr>
          <w:ilvl w:val="0"/>
          <w:numId w:val="1"/>
        </w:numPr>
        <w:ind w:left="142"/>
        <w:jc w:val="both"/>
        <w:rPr>
          <w:rFonts w:ascii="Arial" w:hAnsi="Arial" w:cs="Arial"/>
          <w:sz w:val="20"/>
          <w:szCs w:val="20"/>
        </w:rPr>
      </w:pPr>
      <w:r w:rsidRPr="00135112">
        <w:rPr>
          <w:rFonts w:ascii="Arial" w:hAnsi="Arial" w:cs="Arial"/>
          <w:b/>
          <w:bCs/>
          <w:sz w:val="20"/>
          <w:szCs w:val="20"/>
        </w:rPr>
        <w:t xml:space="preserve"> </w:t>
      </w:r>
      <w:r w:rsidRPr="00135112">
        <w:rPr>
          <w:rFonts w:ascii="Arial" w:hAnsi="Arial" w:cs="Arial"/>
          <w:sz w:val="20"/>
          <w:szCs w:val="20"/>
        </w:rPr>
        <w:t xml:space="preserve">Should a project require additional storage, this will be charged at £250 per additional 100GB. </w:t>
      </w:r>
    </w:p>
    <w:p w14:paraId="06A2E20F" w14:textId="77777777" w:rsidR="009A7803" w:rsidRPr="00135112" w:rsidRDefault="009A7803" w:rsidP="009A7803">
      <w:pPr>
        <w:pStyle w:val="ListParagraph"/>
        <w:rPr>
          <w:rFonts w:ascii="Arial" w:hAnsi="Arial" w:cs="Arial"/>
          <w:sz w:val="20"/>
          <w:szCs w:val="20"/>
        </w:rPr>
      </w:pPr>
    </w:p>
    <w:p w14:paraId="0A76B24D" w14:textId="1D1E1EED" w:rsidR="009A7803" w:rsidRPr="00135112" w:rsidRDefault="009A7803" w:rsidP="009A7803">
      <w:pPr>
        <w:jc w:val="both"/>
        <w:rPr>
          <w:rFonts w:ascii="Arial" w:hAnsi="Arial" w:cs="Arial"/>
          <w:b/>
          <w:sz w:val="20"/>
          <w:szCs w:val="20"/>
        </w:rPr>
      </w:pPr>
      <w:r w:rsidRPr="00135112">
        <w:rPr>
          <w:rFonts w:ascii="Arial" w:hAnsi="Arial" w:cs="Arial"/>
          <w:b/>
          <w:sz w:val="20"/>
          <w:szCs w:val="20"/>
        </w:rPr>
        <w:t>Disclosure Control Acceptable Use Policy</w:t>
      </w:r>
    </w:p>
    <w:p w14:paraId="466D1C78" w14:textId="56316E4B" w:rsidR="00A27C7D" w:rsidRPr="00A27C7D" w:rsidRDefault="00A27C7D" w:rsidP="00A27C7D">
      <w:pPr>
        <w:pStyle w:val="ListParagraph"/>
        <w:numPr>
          <w:ilvl w:val="0"/>
          <w:numId w:val="1"/>
        </w:numPr>
        <w:ind w:left="142"/>
        <w:jc w:val="both"/>
        <w:rPr>
          <w:rFonts w:ascii="Arial" w:hAnsi="Arial" w:cs="Arial"/>
          <w:sz w:val="20"/>
          <w:szCs w:val="20"/>
        </w:rPr>
      </w:pPr>
      <w:r w:rsidRPr="00A27C7D">
        <w:rPr>
          <w:rFonts w:ascii="Arial" w:hAnsi="Arial" w:cs="Arial"/>
          <w:sz w:val="20"/>
          <w:szCs w:val="20"/>
        </w:rPr>
        <w:t>The ongoing support and disclosure control charge of £600 applies within an acceptable use policy. Projects can expect a reasonable amount of time for output checking services. If requests significantly exceed normal levels—such as frequent large outputs or repeated non-compliance with disclosure control guidance—additional charges may apply. The Honest Broker Service will notify the project team in advance and provide an estimate of any extra costs.</w:t>
      </w:r>
    </w:p>
    <w:p w14:paraId="6828A6D6" w14:textId="77777777" w:rsidR="007C5B4B" w:rsidRPr="00135112" w:rsidRDefault="007C5B4B">
      <w:pPr>
        <w:rPr>
          <w:rFonts w:ascii="Arial" w:hAnsi="Arial" w:cs="Arial"/>
          <w:sz w:val="20"/>
          <w:szCs w:val="20"/>
        </w:rPr>
      </w:pPr>
      <w:r w:rsidRPr="00135112">
        <w:rPr>
          <w:rFonts w:ascii="Arial" w:hAnsi="Arial" w:cs="Arial"/>
          <w:sz w:val="20"/>
          <w:szCs w:val="20"/>
        </w:rPr>
        <w:br w:type="page"/>
      </w:r>
    </w:p>
    <w:p w14:paraId="0DC58C42" w14:textId="0A5B1B0B" w:rsidR="00350DCC" w:rsidRPr="00135112" w:rsidRDefault="007C5B4B" w:rsidP="007C5B4B">
      <w:pPr>
        <w:jc w:val="both"/>
        <w:rPr>
          <w:rFonts w:ascii="Arial" w:hAnsi="Arial" w:cs="Arial"/>
          <w:b/>
          <w:sz w:val="36"/>
          <w:szCs w:val="36"/>
        </w:rPr>
      </w:pPr>
      <w:r w:rsidRPr="00135112">
        <w:rPr>
          <w:rFonts w:ascii="Arial" w:hAnsi="Arial" w:cs="Arial"/>
          <w:b/>
          <w:sz w:val="36"/>
          <w:szCs w:val="36"/>
        </w:rPr>
        <w:lastRenderedPageBreak/>
        <w:t xml:space="preserve">Appendix 1 – </w:t>
      </w:r>
      <w:r w:rsidR="00624A32" w:rsidRPr="00135112">
        <w:rPr>
          <w:rFonts w:ascii="Arial" w:hAnsi="Arial" w:cs="Arial"/>
          <w:b/>
          <w:sz w:val="36"/>
          <w:szCs w:val="36"/>
        </w:rPr>
        <w:t>indicative costs based on project complexity</w:t>
      </w:r>
    </w:p>
    <w:p w14:paraId="0CC54403" w14:textId="2CFF37B6" w:rsidR="00C00DB2" w:rsidRPr="00135112" w:rsidRDefault="00907B8C" w:rsidP="00C00DB2">
      <w:pPr>
        <w:rPr>
          <w:rFonts w:ascii="Arial" w:hAnsi="Arial" w:cs="Arial"/>
        </w:rPr>
      </w:pPr>
      <w:r w:rsidRPr="00135112">
        <w:rPr>
          <w:rFonts w:ascii="Arial" w:hAnsi="Arial" w:cs="Arial"/>
        </w:rPr>
        <w:t xml:space="preserve">Each data extraction requires input from HBS and Regional Data Warehouse staff. The typical costs for data extraction and preparation for different project sizes can be found below. </w:t>
      </w:r>
    </w:p>
    <w:tbl>
      <w:tblPr>
        <w:tblW w:w="4248" w:type="dxa"/>
        <w:tblLook w:val="04A0" w:firstRow="1" w:lastRow="0" w:firstColumn="1" w:lastColumn="0" w:noHBand="0" w:noVBand="1"/>
      </w:tblPr>
      <w:tblGrid>
        <w:gridCol w:w="1271"/>
        <w:gridCol w:w="742"/>
        <w:gridCol w:w="2693"/>
      </w:tblGrid>
      <w:tr w:rsidR="00C00DB2" w:rsidRPr="00135112" w14:paraId="60D48E1C" w14:textId="77777777" w:rsidTr="00961BF9">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EDCAB" w14:textId="77777777" w:rsidR="00C00DB2" w:rsidRPr="00135112" w:rsidRDefault="00C00DB2" w:rsidP="00961BF9">
            <w:pPr>
              <w:spacing w:after="0" w:line="240" w:lineRule="auto"/>
              <w:rPr>
                <w:rFonts w:ascii="Arial" w:eastAsia="Times New Roman" w:hAnsi="Arial" w:cs="Arial"/>
                <w:b/>
                <w:bCs/>
                <w:color w:val="000000"/>
                <w:lang w:eastAsia="en-GB"/>
              </w:rPr>
            </w:pPr>
            <w:r w:rsidRPr="00135112">
              <w:rPr>
                <w:rFonts w:ascii="Arial" w:eastAsia="Times New Roman" w:hAnsi="Arial" w:cs="Arial"/>
                <w:b/>
                <w:bCs/>
                <w:color w:val="000000"/>
                <w:lang w:eastAsia="en-GB"/>
              </w:rPr>
              <w:t>Project Size</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14:paraId="48F43ABA" w14:textId="77777777" w:rsidR="00C00DB2" w:rsidRPr="00135112" w:rsidRDefault="00C00DB2" w:rsidP="00961BF9">
            <w:pPr>
              <w:spacing w:after="0" w:line="240" w:lineRule="auto"/>
              <w:rPr>
                <w:rFonts w:ascii="Arial" w:eastAsia="Times New Roman" w:hAnsi="Arial" w:cs="Arial"/>
                <w:b/>
                <w:bCs/>
                <w:color w:val="000000"/>
                <w:lang w:eastAsia="en-GB"/>
              </w:rPr>
            </w:pPr>
            <w:r w:rsidRPr="00135112">
              <w:rPr>
                <w:rFonts w:ascii="Arial" w:eastAsia="Times New Roman" w:hAnsi="Arial" w:cs="Arial"/>
                <w:b/>
                <w:bCs/>
                <w:color w:val="000000"/>
                <w:lang w:eastAsia="en-GB"/>
              </w:rPr>
              <w:t>Total Days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5C7DCAA9" w14:textId="733DD9FF" w:rsidR="00C00DB2" w:rsidRPr="00135112" w:rsidRDefault="00C00DB2" w:rsidP="00961BF9">
            <w:pPr>
              <w:spacing w:after="0" w:line="240" w:lineRule="auto"/>
              <w:rPr>
                <w:rFonts w:ascii="Arial" w:eastAsia="Times New Roman" w:hAnsi="Arial" w:cs="Arial"/>
                <w:b/>
                <w:bCs/>
                <w:color w:val="000000"/>
                <w:lang w:eastAsia="en-GB"/>
              </w:rPr>
            </w:pPr>
            <w:r w:rsidRPr="00135112">
              <w:rPr>
                <w:rFonts w:ascii="Arial" w:eastAsia="Times New Roman" w:hAnsi="Arial" w:cs="Arial"/>
                <w:b/>
                <w:bCs/>
                <w:color w:val="000000"/>
                <w:lang w:eastAsia="en-GB"/>
              </w:rPr>
              <w:t>Estimated Data Extraction/Preparation Cost</w:t>
            </w:r>
          </w:p>
        </w:tc>
      </w:tr>
      <w:tr w:rsidR="00C00DB2" w:rsidRPr="00135112" w14:paraId="7591C425" w14:textId="77777777" w:rsidTr="00961BF9">
        <w:trPr>
          <w:trHeight w:val="300"/>
        </w:trPr>
        <w:tc>
          <w:tcPr>
            <w:tcW w:w="1271" w:type="dxa"/>
            <w:tcBorders>
              <w:top w:val="nil"/>
              <w:left w:val="single" w:sz="4" w:space="0" w:color="auto"/>
              <w:bottom w:val="single" w:sz="4" w:space="0" w:color="auto"/>
              <w:right w:val="single" w:sz="4" w:space="0" w:color="auto"/>
            </w:tcBorders>
            <w:shd w:val="clear" w:color="000000" w:fill="C6E0B4"/>
            <w:noWrap/>
            <w:vAlign w:val="bottom"/>
            <w:hideMark/>
          </w:tcPr>
          <w:p w14:paraId="555CA468" w14:textId="77777777" w:rsidR="00C00DB2" w:rsidRPr="00135112" w:rsidRDefault="00C00DB2" w:rsidP="00961BF9">
            <w:pPr>
              <w:spacing w:after="0" w:line="240" w:lineRule="auto"/>
              <w:rPr>
                <w:rFonts w:ascii="Arial" w:eastAsia="Times New Roman" w:hAnsi="Arial" w:cs="Arial"/>
                <w:color w:val="000000"/>
                <w:lang w:eastAsia="en-GB"/>
              </w:rPr>
            </w:pPr>
            <w:r w:rsidRPr="00135112">
              <w:rPr>
                <w:rFonts w:ascii="Arial" w:eastAsia="Times New Roman" w:hAnsi="Arial" w:cs="Arial"/>
                <w:color w:val="000000"/>
                <w:lang w:eastAsia="en-GB"/>
              </w:rPr>
              <w:t>Mini</w:t>
            </w:r>
          </w:p>
        </w:tc>
        <w:tc>
          <w:tcPr>
            <w:tcW w:w="284" w:type="dxa"/>
            <w:tcBorders>
              <w:top w:val="nil"/>
              <w:left w:val="nil"/>
              <w:bottom w:val="single" w:sz="4" w:space="0" w:color="auto"/>
              <w:right w:val="single" w:sz="4" w:space="0" w:color="auto"/>
            </w:tcBorders>
            <w:shd w:val="clear" w:color="000000" w:fill="C6E0B4"/>
            <w:noWrap/>
            <w:vAlign w:val="bottom"/>
            <w:hideMark/>
          </w:tcPr>
          <w:p w14:paraId="5E1C1A9F" w14:textId="77777777" w:rsidR="00C00DB2" w:rsidRPr="00135112" w:rsidRDefault="00C00DB2" w:rsidP="00961BF9">
            <w:pPr>
              <w:spacing w:after="0" w:line="240" w:lineRule="auto"/>
              <w:rPr>
                <w:rFonts w:ascii="Arial" w:eastAsia="Times New Roman" w:hAnsi="Arial" w:cs="Arial"/>
                <w:color w:val="000000"/>
                <w:lang w:eastAsia="en-GB"/>
              </w:rPr>
            </w:pPr>
            <w:r w:rsidRPr="00135112">
              <w:rPr>
                <w:rFonts w:ascii="Arial" w:eastAsia="Times New Roman" w:hAnsi="Arial" w:cs="Arial"/>
                <w:color w:val="000000"/>
                <w:lang w:eastAsia="en-GB"/>
              </w:rPr>
              <w:t>&lt;5</w:t>
            </w:r>
          </w:p>
        </w:tc>
        <w:tc>
          <w:tcPr>
            <w:tcW w:w="2693" w:type="dxa"/>
            <w:tcBorders>
              <w:top w:val="nil"/>
              <w:left w:val="nil"/>
              <w:bottom w:val="single" w:sz="4" w:space="0" w:color="auto"/>
              <w:right w:val="single" w:sz="4" w:space="0" w:color="auto"/>
            </w:tcBorders>
            <w:shd w:val="clear" w:color="000000" w:fill="C6E0B4"/>
            <w:noWrap/>
            <w:vAlign w:val="bottom"/>
            <w:hideMark/>
          </w:tcPr>
          <w:p w14:paraId="773634BA" w14:textId="77777777" w:rsidR="00C00DB2" w:rsidRPr="00135112" w:rsidRDefault="00C00DB2" w:rsidP="00961BF9">
            <w:pPr>
              <w:spacing w:after="0" w:line="240" w:lineRule="auto"/>
              <w:rPr>
                <w:rFonts w:ascii="Arial" w:eastAsia="Times New Roman" w:hAnsi="Arial" w:cs="Arial"/>
                <w:color w:val="000000"/>
                <w:lang w:eastAsia="en-GB"/>
              </w:rPr>
            </w:pPr>
            <w:r w:rsidRPr="00135112">
              <w:rPr>
                <w:rFonts w:ascii="Arial" w:eastAsia="Times New Roman" w:hAnsi="Arial" w:cs="Arial"/>
                <w:color w:val="000000"/>
                <w:lang w:eastAsia="en-GB"/>
              </w:rPr>
              <w:t>Up to £3000</w:t>
            </w:r>
          </w:p>
        </w:tc>
      </w:tr>
      <w:tr w:rsidR="00C00DB2" w:rsidRPr="00135112" w14:paraId="3D474BF4" w14:textId="77777777" w:rsidTr="00961BF9">
        <w:trPr>
          <w:trHeight w:val="300"/>
        </w:trPr>
        <w:tc>
          <w:tcPr>
            <w:tcW w:w="1271" w:type="dxa"/>
            <w:tcBorders>
              <w:top w:val="nil"/>
              <w:left w:val="single" w:sz="4" w:space="0" w:color="auto"/>
              <w:bottom w:val="single" w:sz="4" w:space="0" w:color="auto"/>
              <w:right w:val="single" w:sz="4" w:space="0" w:color="auto"/>
            </w:tcBorders>
            <w:shd w:val="clear" w:color="000000" w:fill="00B050"/>
            <w:noWrap/>
            <w:vAlign w:val="bottom"/>
            <w:hideMark/>
          </w:tcPr>
          <w:p w14:paraId="741EB3F4" w14:textId="77777777" w:rsidR="00C00DB2" w:rsidRPr="00135112" w:rsidRDefault="00C00DB2" w:rsidP="00961BF9">
            <w:pPr>
              <w:spacing w:after="0" w:line="240" w:lineRule="auto"/>
              <w:rPr>
                <w:rFonts w:ascii="Arial" w:eastAsia="Times New Roman" w:hAnsi="Arial" w:cs="Arial"/>
                <w:color w:val="000000"/>
                <w:lang w:eastAsia="en-GB"/>
              </w:rPr>
            </w:pPr>
            <w:r w:rsidRPr="00135112">
              <w:rPr>
                <w:rFonts w:ascii="Arial" w:eastAsia="Times New Roman" w:hAnsi="Arial" w:cs="Arial"/>
                <w:color w:val="000000"/>
                <w:lang w:eastAsia="en-GB"/>
              </w:rPr>
              <w:t>Small</w:t>
            </w:r>
          </w:p>
        </w:tc>
        <w:tc>
          <w:tcPr>
            <w:tcW w:w="284" w:type="dxa"/>
            <w:tcBorders>
              <w:top w:val="nil"/>
              <w:left w:val="nil"/>
              <w:bottom w:val="single" w:sz="4" w:space="0" w:color="auto"/>
              <w:right w:val="single" w:sz="4" w:space="0" w:color="auto"/>
            </w:tcBorders>
            <w:shd w:val="clear" w:color="000000" w:fill="00B050"/>
            <w:noWrap/>
            <w:vAlign w:val="bottom"/>
            <w:hideMark/>
          </w:tcPr>
          <w:p w14:paraId="58EA82DD" w14:textId="77777777" w:rsidR="00C00DB2" w:rsidRPr="00135112" w:rsidRDefault="00C00DB2" w:rsidP="00961BF9">
            <w:pPr>
              <w:spacing w:after="0" w:line="240" w:lineRule="auto"/>
              <w:rPr>
                <w:rFonts w:ascii="Arial" w:eastAsia="Times New Roman" w:hAnsi="Arial" w:cs="Arial"/>
                <w:color w:val="000000"/>
                <w:lang w:eastAsia="en-GB"/>
              </w:rPr>
            </w:pPr>
            <w:r w:rsidRPr="00135112">
              <w:rPr>
                <w:rFonts w:ascii="Arial" w:eastAsia="Times New Roman" w:hAnsi="Arial" w:cs="Arial"/>
                <w:color w:val="000000"/>
                <w:lang w:eastAsia="en-GB"/>
              </w:rPr>
              <w:t>5 - 10</w:t>
            </w:r>
          </w:p>
        </w:tc>
        <w:tc>
          <w:tcPr>
            <w:tcW w:w="2693" w:type="dxa"/>
            <w:tcBorders>
              <w:top w:val="nil"/>
              <w:left w:val="nil"/>
              <w:bottom w:val="single" w:sz="4" w:space="0" w:color="auto"/>
              <w:right w:val="single" w:sz="4" w:space="0" w:color="auto"/>
            </w:tcBorders>
            <w:shd w:val="clear" w:color="000000" w:fill="00B050"/>
            <w:noWrap/>
            <w:vAlign w:val="bottom"/>
            <w:hideMark/>
          </w:tcPr>
          <w:p w14:paraId="37AB2F6D" w14:textId="77777777" w:rsidR="00C00DB2" w:rsidRPr="00135112" w:rsidRDefault="00C00DB2" w:rsidP="00961BF9">
            <w:pPr>
              <w:spacing w:after="0" w:line="240" w:lineRule="auto"/>
              <w:rPr>
                <w:rFonts w:ascii="Arial" w:eastAsia="Times New Roman" w:hAnsi="Arial" w:cs="Arial"/>
                <w:color w:val="000000"/>
                <w:lang w:eastAsia="en-GB"/>
              </w:rPr>
            </w:pPr>
            <w:r w:rsidRPr="00135112">
              <w:rPr>
                <w:rFonts w:ascii="Arial" w:eastAsia="Times New Roman" w:hAnsi="Arial" w:cs="Arial"/>
                <w:color w:val="000000"/>
                <w:lang w:eastAsia="en-GB"/>
              </w:rPr>
              <w:t>£3 - £5,000</w:t>
            </w:r>
          </w:p>
        </w:tc>
      </w:tr>
      <w:tr w:rsidR="00C00DB2" w:rsidRPr="00135112" w14:paraId="23077400" w14:textId="77777777" w:rsidTr="00961BF9">
        <w:trPr>
          <w:trHeight w:val="300"/>
        </w:trPr>
        <w:tc>
          <w:tcPr>
            <w:tcW w:w="1271" w:type="dxa"/>
            <w:tcBorders>
              <w:top w:val="nil"/>
              <w:left w:val="single" w:sz="4" w:space="0" w:color="auto"/>
              <w:bottom w:val="single" w:sz="4" w:space="0" w:color="auto"/>
              <w:right w:val="single" w:sz="4" w:space="0" w:color="auto"/>
            </w:tcBorders>
            <w:shd w:val="clear" w:color="000000" w:fill="FFC000"/>
            <w:noWrap/>
            <w:vAlign w:val="bottom"/>
            <w:hideMark/>
          </w:tcPr>
          <w:p w14:paraId="7339A3EF" w14:textId="77777777" w:rsidR="00C00DB2" w:rsidRPr="00135112" w:rsidRDefault="00C00DB2" w:rsidP="00961BF9">
            <w:pPr>
              <w:spacing w:after="0" w:line="240" w:lineRule="auto"/>
              <w:rPr>
                <w:rFonts w:ascii="Arial" w:eastAsia="Times New Roman" w:hAnsi="Arial" w:cs="Arial"/>
                <w:color w:val="000000"/>
                <w:lang w:eastAsia="en-GB"/>
              </w:rPr>
            </w:pPr>
            <w:r w:rsidRPr="00135112">
              <w:rPr>
                <w:rFonts w:ascii="Arial" w:eastAsia="Times New Roman" w:hAnsi="Arial" w:cs="Arial"/>
                <w:color w:val="000000"/>
                <w:lang w:eastAsia="en-GB"/>
              </w:rPr>
              <w:t>Med</w:t>
            </w:r>
          </w:p>
        </w:tc>
        <w:tc>
          <w:tcPr>
            <w:tcW w:w="284" w:type="dxa"/>
            <w:tcBorders>
              <w:top w:val="nil"/>
              <w:left w:val="nil"/>
              <w:bottom w:val="single" w:sz="4" w:space="0" w:color="auto"/>
              <w:right w:val="single" w:sz="4" w:space="0" w:color="auto"/>
            </w:tcBorders>
            <w:shd w:val="clear" w:color="000000" w:fill="FFC000"/>
            <w:noWrap/>
            <w:vAlign w:val="bottom"/>
            <w:hideMark/>
          </w:tcPr>
          <w:p w14:paraId="0552EEEE" w14:textId="77777777" w:rsidR="00C00DB2" w:rsidRPr="00135112" w:rsidRDefault="00C00DB2" w:rsidP="00961BF9">
            <w:pPr>
              <w:spacing w:after="0" w:line="240" w:lineRule="auto"/>
              <w:rPr>
                <w:rFonts w:ascii="Arial" w:eastAsia="Times New Roman" w:hAnsi="Arial" w:cs="Arial"/>
                <w:color w:val="000000"/>
                <w:lang w:eastAsia="en-GB"/>
              </w:rPr>
            </w:pPr>
            <w:r w:rsidRPr="00135112">
              <w:rPr>
                <w:rFonts w:ascii="Arial" w:eastAsia="Times New Roman" w:hAnsi="Arial" w:cs="Arial"/>
                <w:color w:val="000000"/>
                <w:lang w:eastAsia="en-GB"/>
              </w:rPr>
              <w:t>10 - 15</w:t>
            </w:r>
          </w:p>
        </w:tc>
        <w:tc>
          <w:tcPr>
            <w:tcW w:w="2693" w:type="dxa"/>
            <w:tcBorders>
              <w:top w:val="nil"/>
              <w:left w:val="nil"/>
              <w:bottom w:val="single" w:sz="4" w:space="0" w:color="auto"/>
              <w:right w:val="single" w:sz="4" w:space="0" w:color="auto"/>
            </w:tcBorders>
            <w:shd w:val="clear" w:color="000000" w:fill="FFC000"/>
            <w:noWrap/>
            <w:vAlign w:val="bottom"/>
            <w:hideMark/>
          </w:tcPr>
          <w:p w14:paraId="59A4D18A" w14:textId="77777777" w:rsidR="00C00DB2" w:rsidRPr="00135112" w:rsidRDefault="00C00DB2" w:rsidP="00961BF9">
            <w:pPr>
              <w:spacing w:after="0" w:line="240" w:lineRule="auto"/>
              <w:rPr>
                <w:rFonts w:ascii="Arial" w:eastAsia="Times New Roman" w:hAnsi="Arial" w:cs="Arial"/>
                <w:color w:val="000000"/>
                <w:lang w:eastAsia="en-GB"/>
              </w:rPr>
            </w:pPr>
            <w:r w:rsidRPr="00135112">
              <w:rPr>
                <w:rFonts w:ascii="Arial" w:eastAsia="Times New Roman" w:hAnsi="Arial" w:cs="Arial"/>
                <w:color w:val="000000"/>
                <w:lang w:eastAsia="en-GB"/>
              </w:rPr>
              <w:t>£5 - £7,000</w:t>
            </w:r>
          </w:p>
        </w:tc>
      </w:tr>
      <w:tr w:rsidR="00C00DB2" w:rsidRPr="00135112" w14:paraId="56F00D2F" w14:textId="77777777" w:rsidTr="00961BF9">
        <w:trPr>
          <w:trHeight w:val="300"/>
        </w:trPr>
        <w:tc>
          <w:tcPr>
            <w:tcW w:w="1271" w:type="dxa"/>
            <w:tcBorders>
              <w:top w:val="nil"/>
              <w:left w:val="single" w:sz="4" w:space="0" w:color="auto"/>
              <w:bottom w:val="single" w:sz="4" w:space="0" w:color="auto"/>
              <w:right w:val="single" w:sz="4" w:space="0" w:color="auto"/>
            </w:tcBorders>
            <w:shd w:val="clear" w:color="000000" w:fill="FF0000"/>
            <w:noWrap/>
            <w:vAlign w:val="bottom"/>
            <w:hideMark/>
          </w:tcPr>
          <w:p w14:paraId="6FF9E7CF" w14:textId="77777777" w:rsidR="00C00DB2" w:rsidRPr="00135112" w:rsidRDefault="00C00DB2" w:rsidP="00961BF9">
            <w:pPr>
              <w:spacing w:after="0" w:line="240" w:lineRule="auto"/>
              <w:rPr>
                <w:rFonts w:ascii="Arial" w:eastAsia="Times New Roman" w:hAnsi="Arial" w:cs="Arial"/>
                <w:color w:val="000000"/>
                <w:lang w:eastAsia="en-GB"/>
              </w:rPr>
            </w:pPr>
            <w:r w:rsidRPr="00135112">
              <w:rPr>
                <w:rFonts w:ascii="Arial" w:eastAsia="Times New Roman" w:hAnsi="Arial" w:cs="Arial"/>
                <w:color w:val="000000"/>
                <w:lang w:eastAsia="en-GB"/>
              </w:rPr>
              <w:t>Large</w:t>
            </w:r>
          </w:p>
        </w:tc>
        <w:tc>
          <w:tcPr>
            <w:tcW w:w="284" w:type="dxa"/>
            <w:tcBorders>
              <w:top w:val="nil"/>
              <w:left w:val="nil"/>
              <w:bottom w:val="single" w:sz="4" w:space="0" w:color="auto"/>
              <w:right w:val="single" w:sz="4" w:space="0" w:color="auto"/>
            </w:tcBorders>
            <w:shd w:val="clear" w:color="000000" w:fill="FF0000"/>
            <w:noWrap/>
            <w:vAlign w:val="bottom"/>
            <w:hideMark/>
          </w:tcPr>
          <w:p w14:paraId="613ED8CC" w14:textId="77777777" w:rsidR="00C00DB2" w:rsidRPr="00135112" w:rsidRDefault="00C00DB2" w:rsidP="00961BF9">
            <w:pPr>
              <w:spacing w:after="0" w:line="240" w:lineRule="auto"/>
              <w:rPr>
                <w:rFonts w:ascii="Arial" w:eastAsia="Times New Roman" w:hAnsi="Arial" w:cs="Arial"/>
                <w:color w:val="000000"/>
                <w:lang w:eastAsia="en-GB"/>
              </w:rPr>
            </w:pPr>
            <w:r w:rsidRPr="00135112">
              <w:rPr>
                <w:rFonts w:ascii="Arial" w:eastAsia="Times New Roman" w:hAnsi="Arial" w:cs="Arial"/>
                <w:color w:val="000000"/>
                <w:lang w:eastAsia="en-GB"/>
              </w:rPr>
              <w:t>15 - 25</w:t>
            </w:r>
          </w:p>
        </w:tc>
        <w:tc>
          <w:tcPr>
            <w:tcW w:w="2693" w:type="dxa"/>
            <w:tcBorders>
              <w:top w:val="nil"/>
              <w:left w:val="nil"/>
              <w:bottom w:val="single" w:sz="4" w:space="0" w:color="auto"/>
              <w:right w:val="single" w:sz="4" w:space="0" w:color="auto"/>
            </w:tcBorders>
            <w:shd w:val="clear" w:color="000000" w:fill="FF0000"/>
            <w:noWrap/>
            <w:vAlign w:val="bottom"/>
            <w:hideMark/>
          </w:tcPr>
          <w:p w14:paraId="430FF9D4" w14:textId="77777777" w:rsidR="00C00DB2" w:rsidRPr="00135112" w:rsidRDefault="00C00DB2" w:rsidP="00961BF9">
            <w:pPr>
              <w:spacing w:after="0" w:line="240" w:lineRule="auto"/>
              <w:rPr>
                <w:rFonts w:ascii="Arial" w:eastAsia="Times New Roman" w:hAnsi="Arial" w:cs="Arial"/>
                <w:color w:val="000000"/>
                <w:lang w:eastAsia="en-GB"/>
              </w:rPr>
            </w:pPr>
            <w:r w:rsidRPr="00135112">
              <w:rPr>
                <w:rFonts w:ascii="Arial" w:eastAsia="Times New Roman" w:hAnsi="Arial" w:cs="Arial"/>
                <w:color w:val="000000"/>
                <w:lang w:eastAsia="en-GB"/>
              </w:rPr>
              <w:t>£7 - £10,000</w:t>
            </w:r>
          </w:p>
        </w:tc>
      </w:tr>
      <w:tr w:rsidR="00C00DB2" w:rsidRPr="00135112" w14:paraId="5546C1A6" w14:textId="77777777" w:rsidTr="00961BF9">
        <w:trPr>
          <w:trHeight w:val="300"/>
        </w:trPr>
        <w:tc>
          <w:tcPr>
            <w:tcW w:w="1271" w:type="dxa"/>
            <w:tcBorders>
              <w:top w:val="nil"/>
              <w:left w:val="single" w:sz="4" w:space="0" w:color="auto"/>
              <w:bottom w:val="single" w:sz="4" w:space="0" w:color="auto"/>
              <w:right w:val="single" w:sz="4" w:space="0" w:color="auto"/>
            </w:tcBorders>
            <w:shd w:val="clear" w:color="000000" w:fill="C00000"/>
            <w:noWrap/>
            <w:vAlign w:val="bottom"/>
            <w:hideMark/>
          </w:tcPr>
          <w:p w14:paraId="5236B5BD" w14:textId="77777777" w:rsidR="00C00DB2" w:rsidRPr="00135112" w:rsidRDefault="00C00DB2" w:rsidP="00961BF9">
            <w:pPr>
              <w:spacing w:after="0" w:line="240" w:lineRule="auto"/>
              <w:rPr>
                <w:rFonts w:ascii="Arial" w:eastAsia="Times New Roman" w:hAnsi="Arial" w:cs="Arial"/>
                <w:color w:val="000000"/>
                <w:lang w:eastAsia="en-GB"/>
              </w:rPr>
            </w:pPr>
            <w:r w:rsidRPr="00135112">
              <w:rPr>
                <w:rFonts w:ascii="Arial" w:eastAsia="Times New Roman" w:hAnsi="Arial" w:cs="Arial"/>
                <w:color w:val="000000"/>
                <w:lang w:eastAsia="en-GB"/>
              </w:rPr>
              <w:t>X Large</w:t>
            </w:r>
          </w:p>
        </w:tc>
        <w:tc>
          <w:tcPr>
            <w:tcW w:w="284" w:type="dxa"/>
            <w:tcBorders>
              <w:top w:val="nil"/>
              <w:left w:val="nil"/>
              <w:bottom w:val="single" w:sz="4" w:space="0" w:color="auto"/>
              <w:right w:val="single" w:sz="4" w:space="0" w:color="auto"/>
            </w:tcBorders>
            <w:shd w:val="clear" w:color="000000" w:fill="C00000"/>
            <w:noWrap/>
            <w:vAlign w:val="bottom"/>
            <w:hideMark/>
          </w:tcPr>
          <w:p w14:paraId="17E7028F" w14:textId="77777777" w:rsidR="00C00DB2" w:rsidRPr="00135112" w:rsidRDefault="00C00DB2" w:rsidP="00961BF9">
            <w:pPr>
              <w:spacing w:after="0" w:line="240" w:lineRule="auto"/>
              <w:rPr>
                <w:rFonts w:ascii="Arial" w:eastAsia="Times New Roman" w:hAnsi="Arial" w:cs="Arial"/>
                <w:color w:val="000000"/>
                <w:lang w:eastAsia="en-GB"/>
              </w:rPr>
            </w:pPr>
            <w:r w:rsidRPr="00135112">
              <w:rPr>
                <w:rFonts w:ascii="Arial" w:eastAsia="Times New Roman" w:hAnsi="Arial" w:cs="Arial"/>
                <w:color w:val="000000"/>
                <w:lang w:eastAsia="en-GB"/>
              </w:rPr>
              <w:t>25+</w:t>
            </w:r>
          </w:p>
        </w:tc>
        <w:tc>
          <w:tcPr>
            <w:tcW w:w="2693" w:type="dxa"/>
            <w:tcBorders>
              <w:top w:val="nil"/>
              <w:left w:val="nil"/>
              <w:bottom w:val="single" w:sz="4" w:space="0" w:color="auto"/>
              <w:right w:val="single" w:sz="4" w:space="0" w:color="auto"/>
            </w:tcBorders>
            <w:shd w:val="clear" w:color="000000" w:fill="C00000"/>
            <w:noWrap/>
            <w:vAlign w:val="bottom"/>
            <w:hideMark/>
          </w:tcPr>
          <w:p w14:paraId="1459D4D6" w14:textId="77777777" w:rsidR="00C00DB2" w:rsidRPr="00135112" w:rsidRDefault="00C00DB2" w:rsidP="00961BF9">
            <w:pPr>
              <w:spacing w:after="0" w:line="240" w:lineRule="auto"/>
              <w:rPr>
                <w:rFonts w:ascii="Arial" w:eastAsia="Times New Roman" w:hAnsi="Arial" w:cs="Arial"/>
                <w:color w:val="000000"/>
                <w:lang w:eastAsia="en-GB"/>
              </w:rPr>
            </w:pPr>
            <w:r w:rsidRPr="00135112">
              <w:rPr>
                <w:rFonts w:ascii="Arial" w:eastAsia="Times New Roman" w:hAnsi="Arial" w:cs="Arial"/>
                <w:color w:val="000000"/>
                <w:lang w:eastAsia="en-GB"/>
              </w:rPr>
              <w:t>£10,000 +</w:t>
            </w:r>
          </w:p>
        </w:tc>
      </w:tr>
    </w:tbl>
    <w:p w14:paraId="167FE815" w14:textId="77777777" w:rsidR="00C00DB2" w:rsidRPr="00135112" w:rsidRDefault="00C00DB2" w:rsidP="00C00DB2">
      <w:pPr>
        <w:rPr>
          <w:rFonts w:ascii="Arial" w:hAnsi="Arial" w:cs="Arial"/>
        </w:rPr>
      </w:pPr>
    </w:p>
    <w:p w14:paraId="127FF68A" w14:textId="77777777" w:rsidR="00135112" w:rsidRPr="00135112" w:rsidRDefault="00907B8C" w:rsidP="00135112">
      <w:pPr>
        <w:spacing w:after="0"/>
        <w:jc w:val="both"/>
        <w:rPr>
          <w:rFonts w:ascii="Arial" w:hAnsi="Arial" w:cs="Arial"/>
        </w:rPr>
      </w:pPr>
      <w:r w:rsidRPr="00135112">
        <w:rPr>
          <w:rFonts w:ascii="Arial" w:hAnsi="Arial" w:cs="Arial"/>
        </w:rPr>
        <w:t xml:space="preserve">Factors </w:t>
      </w:r>
      <w:r w:rsidR="0078354B" w:rsidRPr="00135112">
        <w:rPr>
          <w:rFonts w:ascii="Arial" w:hAnsi="Arial" w:cs="Arial"/>
        </w:rPr>
        <w:t>influence time required and hence cost</w:t>
      </w:r>
      <w:r w:rsidRPr="00135112">
        <w:rPr>
          <w:rFonts w:ascii="Arial" w:hAnsi="Arial" w:cs="Arial"/>
        </w:rPr>
        <w:t xml:space="preserve"> include</w:t>
      </w:r>
      <w:r w:rsidR="00135112" w:rsidRPr="00135112">
        <w:rPr>
          <w:rFonts w:ascii="Arial" w:hAnsi="Arial" w:cs="Arial"/>
        </w:rPr>
        <w:t>:</w:t>
      </w:r>
    </w:p>
    <w:p w14:paraId="158737C9" w14:textId="77777777" w:rsidR="00135112" w:rsidRPr="00135112" w:rsidRDefault="00907B8C" w:rsidP="00135112">
      <w:pPr>
        <w:pStyle w:val="ListParagraph"/>
        <w:numPr>
          <w:ilvl w:val="0"/>
          <w:numId w:val="11"/>
        </w:numPr>
        <w:spacing w:after="0"/>
        <w:jc w:val="both"/>
        <w:rPr>
          <w:rFonts w:ascii="Arial" w:hAnsi="Arial" w:cs="Arial"/>
        </w:rPr>
      </w:pPr>
      <w:r w:rsidRPr="00135112">
        <w:rPr>
          <w:rFonts w:ascii="Arial" w:hAnsi="Arial" w:cs="Arial"/>
        </w:rPr>
        <w:t>the</w:t>
      </w:r>
      <w:r w:rsidR="0078354B" w:rsidRPr="00135112">
        <w:rPr>
          <w:rFonts w:ascii="Arial" w:hAnsi="Arial" w:cs="Arial"/>
        </w:rPr>
        <w:t xml:space="preserve"> complexity of the data requested (number of datasets required, data linkage requirements, size of dataset, number of variables, time series), </w:t>
      </w:r>
    </w:p>
    <w:p w14:paraId="181DF8A2" w14:textId="77777777" w:rsidR="00135112" w:rsidRPr="00135112" w:rsidRDefault="0078354B" w:rsidP="00135112">
      <w:pPr>
        <w:pStyle w:val="ListParagraph"/>
        <w:numPr>
          <w:ilvl w:val="0"/>
          <w:numId w:val="11"/>
        </w:numPr>
        <w:spacing w:after="0"/>
        <w:jc w:val="both"/>
        <w:rPr>
          <w:rFonts w:ascii="Arial" w:hAnsi="Arial" w:cs="Arial"/>
        </w:rPr>
      </w:pPr>
      <w:r w:rsidRPr="00135112">
        <w:rPr>
          <w:rFonts w:ascii="Arial" w:hAnsi="Arial" w:cs="Arial"/>
        </w:rPr>
        <w:t xml:space="preserve">amount of manual input required (e.g. bespoke coding or scripting, additional scoping and validation work required for novel datasets) </w:t>
      </w:r>
    </w:p>
    <w:p w14:paraId="5D48ECCB" w14:textId="5029848C" w:rsidR="0078354B" w:rsidRPr="00135112" w:rsidRDefault="0078354B" w:rsidP="00135112">
      <w:pPr>
        <w:pStyle w:val="ListParagraph"/>
        <w:numPr>
          <w:ilvl w:val="0"/>
          <w:numId w:val="11"/>
        </w:numPr>
        <w:spacing w:after="0"/>
        <w:jc w:val="both"/>
        <w:rPr>
          <w:rFonts w:ascii="Arial" w:hAnsi="Arial" w:cs="Arial"/>
        </w:rPr>
      </w:pPr>
      <w:r w:rsidRPr="00135112">
        <w:rPr>
          <w:rFonts w:ascii="Arial" w:hAnsi="Arial" w:cs="Arial"/>
        </w:rPr>
        <w:t xml:space="preserve">and information governance (e.g. HBS input required for additional legal agreements + transfer processes to be adhered to). </w:t>
      </w:r>
    </w:p>
    <w:p w14:paraId="63CECF37" w14:textId="77777777" w:rsidR="00135112" w:rsidRPr="00135112" w:rsidRDefault="00135112" w:rsidP="00135112">
      <w:pPr>
        <w:pStyle w:val="ListParagraph"/>
        <w:spacing w:after="0"/>
        <w:jc w:val="both"/>
        <w:rPr>
          <w:rFonts w:ascii="Arial" w:hAnsi="Arial" w:cs="Arial"/>
        </w:rPr>
      </w:pPr>
    </w:p>
    <w:p w14:paraId="132B7467" w14:textId="379E0FFA" w:rsidR="0078354B" w:rsidRPr="00135112" w:rsidRDefault="0078354B" w:rsidP="00135112">
      <w:pPr>
        <w:spacing w:after="0"/>
        <w:jc w:val="both"/>
        <w:rPr>
          <w:rFonts w:ascii="Arial" w:hAnsi="Arial" w:cs="Arial"/>
        </w:rPr>
      </w:pPr>
      <w:r w:rsidRPr="00135112">
        <w:rPr>
          <w:rFonts w:ascii="Arial" w:hAnsi="Arial" w:cs="Arial"/>
        </w:rPr>
        <w:t>The HBS team will work with you during the application process and can provide a quote</w:t>
      </w:r>
      <w:r w:rsidR="00135112" w:rsidRPr="00135112">
        <w:rPr>
          <w:rFonts w:ascii="Arial" w:hAnsi="Arial" w:cs="Arial"/>
        </w:rPr>
        <w:t xml:space="preserve"> or letter of support</w:t>
      </w:r>
      <w:r w:rsidRPr="00135112">
        <w:rPr>
          <w:rFonts w:ascii="Arial" w:hAnsi="Arial" w:cs="Arial"/>
        </w:rPr>
        <w:t xml:space="preserve"> </w:t>
      </w:r>
      <w:r w:rsidR="00135112" w:rsidRPr="00135112">
        <w:rPr>
          <w:rFonts w:ascii="Arial" w:hAnsi="Arial" w:cs="Arial"/>
        </w:rPr>
        <w:t>(</w:t>
      </w:r>
      <w:r w:rsidRPr="00135112">
        <w:rPr>
          <w:rFonts w:ascii="Arial" w:hAnsi="Arial" w:cs="Arial"/>
        </w:rPr>
        <w:t>for example for inclusion in grant applications etc</w:t>
      </w:r>
      <w:r w:rsidR="00135112" w:rsidRPr="00135112">
        <w:rPr>
          <w:rFonts w:ascii="Arial" w:hAnsi="Arial" w:cs="Arial"/>
        </w:rPr>
        <w:t>)</w:t>
      </w:r>
      <w:r w:rsidRPr="00135112">
        <w:rPr>
          <w:rFonts w:ascii="Arial" w:hAnsi="Arial" w:cs="Arial"/>
        </w:rPr>
        <w:t xml:space="preserve">. </w:t>
      </w:r>
    </w:p>
    <w:p w14:paraId="733FCFB9" w14:textId="77777777" w:rsidR="00907B8C" w:rsidRPr="00135112" w:rsidRDefault="00907B8C" w:rsidP="00907B8C">
      <w:pPr>
        <w:jc w:val="both"/>
        <w:rPr>
          <w:rFonts w:ascii="Arial" w:hAnsi="Arial" w:cs="Arial"/>
          <w:b/>
          <w:sz w:val="36"/>
          <w:szCs w:val="36"/>
        </w:rPr>
      </w:pPr>
    </w:p>
    <w:p w14:paraId="0F10A0E5" w14:textId="77777777" w:rsidR="00907B8C" w:rsidRPr="00135112" w:rsidRDefault="00907B8C" w:rsidP="00907B8C">
      <w:pPr>
        <w:jc w:val="both"/>
        <w:rPr>
          <w:rFonts w:ascii="Arial" w:hAnsi="Arial" w:cs="Arial"/>
          <w:b/>
          <w:sz w:val="36"/>
          <w:szCs w:val="36"/>
        </w:rPr>
      </w:pPr>
    </w:p>
    <w:p w14:paraId="73535F82" w14:textId="038C9D89" w:rsidR="00907B8C" w:rsidRPr="00135112" w:rsidRDefault="00907B8C" w:rsidP="00907B8C">
      <w:pPr>
        <w:jc w:val="both"/>
        <w:rPr>
          <w:rFonts w:ascii="Arial" w:hAnsi="Arial" w:cs="Arial"/>
          <w:b/>
          <w:sz w:val="36"/>
          <w:szCs w:val="36"/>
        </w:rPr>
      </w:pPr>
    </w:p>
    <w:p w14:paraId="448443A5" w14:textId="32DDE661" w:rsidR="0078354B" w:rsidRPr="00135112" w:rsidRDefault="0078354B" w:rsidP="00907B8C">
      <w:pPr>
        <w:jc w:val="both"/>
        <w:rPr>
          <w:rFonts w:ascii="Arial" w:hAnsi="Arial" w:cs="Arial"/>
          <w:b/>
          <w:sz w:val="36"/>
          <w:szCs w:val="36"/>
        </w:rPr>
      </w:pPr>
    </w:p>
    <w:p w14:paraId="05DBEACA" w14:textId="60CAE8CD" w:rsidR="00A47545" w:rsidRPr="00135112" w:rsidRDefault="00A47545" w:rsidP="00907B8C">
      <w:pPr>
        <w:jc w:val="both"/>
        <w:rPr>
          <w:rFonts w:ascii="Arial" w:hAnsi="Arial" w:cs="Arial"/>
          <w:b/>
          <w:sz w:val="36"/>
          <w:szCs w:val="36"/>
        </w:rPr>
      </w:pPr>
    </w:p>
    <w:p w14:paraId="6351DAC2" w14:textId="56423FF5" w:rsidR="00A47545" w:rsidRPr="00135112" w:rsidRDefault="00A47545" w:rsidP="00907B8C">
      <w:pPr>
        <w:jc w:val="both"/>
        <w:rPr>
          <w:rFonts w:ascii="Arial" w:hAnsi="Arial" w:cs="Arial"/>
          <w:b/>
          <w:sz w:val="36"/>
          <w:szCs w:val="36"/>
        </w:rPr>
      </w:pPr>
    </w:p>
    <w:p w14:paraId="469C8108" w14:textId="77777777" w:rsidR="00A47545" w:rsidRPr="00135112" w:rsidRDefault="00A47545" w:rsidP="00907B8C">
      <w:pPr>
        <w:jc w:val="both"/>
        <w:rPr>
          <w:rFonts w:ascii="Arial" w:hAnsi="Arial" w:cs="Arial"/>
          <w:b/>
          <w:sz w:val="36"/>
          <w:szCs w:val="36"/>
        </w:rPr>
      </w:pPr>
    </w:p>
    <w:p w14:paraId="7BDE5636" w14:textId="77777777" w:rsidR="0078354B" w:rsidRPr="00135112" w:rsidRDefault="0078354B" w:rsidP="00907B8C">
      <w:pPr>
        <w:jc w:val="both"/>
        <w:rPr>
          <w:rFonts w:ascii="Arial" w:hAnsi="Arial" w:cs="Arial"/>
          <w:b/>
          <w:sz w:val="36"/>
          <w:szCs w:val="36"/>
        </w:rPr>
      </w:pPr>
    </w:p>
    <w:sectPr w:rsidR="0078354B" w:rsidRPr="0013511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835D3" w14:textId="77777777" w:rsidR="00046C02" w:rsidRDefault="00046C02" w:rsidP="00046C02">
      <w:pPr>
        <w:spacing w:after="0" w:line="240" w:lineRule="auto"/>
      </w:pPr>
      <w:r>
        <w:separator/>
      </w:r>
    </w:p>
  </w:endnote>
  <w:endnote w:type="continuationSeparator" w:id="0">
    <w:p w14:paraId="18BC792A" w14:textId="77777777" w:rsidR="00046C02" w:rsidRDefault="00046C02" w:rsidP="00046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E9445" w14:textId="77777777" w:rsidR="00046C02" w:rsidRDefault="00046C02" w:rsidP="00046C02">
      <w:pPr>
        <w:spacing w:after="0" w:line="240" w:lineRule="auto"/>
      </w:pPr>
      <w:r>
        <w:separator/>
      </w:r>
    </w:p>
  </w:footnote>
  <w:footnote w:type="continuationSeparator" w:id="0">
    <w:p w14:paraId="275D3328" w14:textId="77777777" w:rsidR="00046C02" w:rsidRDefault="00046C02" w:rsidP="00046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10C68" w14:textId="48A0325C" w:rsidR="00046C02" w:rsidRDefault="00046C02">
    <w:pPr>
      <w:pStyle w:val="Header"/>
    </w:pPr>
    <w:r>
      <w:rPr>
        <w:noProof/>
      </w:rPr>
      <w:drawing>
        <wp:inline distT="0" distB="0" distL="0" distR="0" wp14:anchorId="6FC85541" wp14:editId="737B8842">
          <wp:extent cx="2047875" cy="70960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031" cy="721439"/>
                  </a:xfrm>
                  <a:prstGeom prst="rect">
                    <a:avLst/>
                  </a:prstGeom>
                  <a:noFill/>
                  <a:ln>
                    <a:noFill/>
                  </a:ln>
                </pic:spPr>
              </pic:pic>
            </a:graphicData>
          </a:graphic>
        </wp:inline>
      </w:drawing>
    </w:r>
  </w:p>
  <w:p w14:paraId="344FBEBC" w14:textId="77777777" w:rsidR="00046C02" w:rsidRDefault="00046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55C1"/>
    <w:multiLevelType w:val="hybridMultilevel"/>
    <w:tmpl w:val="44CE0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8658F0"/>
    <w:multiLevelType w:val="hybridMultilevel"/>
    <w:tmpl w:val="872E6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077227"/>
    <w:multiLevelType w:val="hybridMultilevel"/>
    <w:tmpl w:val="5C2A54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9143A"/>
    <w:multiLevelType w:val="hybridMultilevel"/>
    <w:tmpl w:val="5A061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015935"/>
    <w:multiLevelType w:val="hybridMultilevel"/>
    <w:tmpl w:val="3198F9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C73A97"/>
    <w:multiLevelType w:val="hybridMultilevel"/>
    <w:tmpl w:val="ED06A6C2"/>
    <w:lvl w:ilvl="0" w:tplc="84760D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1615B1"/>
    <w:multiLevelType w:val="hybridMultilevel"/>
    <w:tmpl w:val="46B860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2173DF"/>
    <w:multiLevelType w:val="hybridMultilevel"/>
    <w:tmpl w:val="F6666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5B0574"/>
    <w:multiLevelType w:val="hybridMultilevel"/>
    <w:tmpl w:val="B8985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1F4B8B"/>
    <w:multiLevelType w:val="hybridMultilevel"/>
    <w:tmpl w:val="12D0042E"/>
    <w:lvl w:ilvl="0" w:tplc="F91E8C0C">
      <w:numFmt w:val="bullet"/>
      <w:lvlText w:val=""/>
      <w:lvlJc w:val="left"/>
      <w:pPr>
        <w:ind w:left="1080" w:hanging="360"/>
      </w:pPr>
      <w:rPr>
        <w:rFonts w:ascii="Symbol" w:eastAsiaTheme="minorHAnsi" w:hAnsi="Symbol" w:cs="Arial" w:hint="default"/>
        <w:color w:val="3F525F"/>
        <w:sz w:val="27"/>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BC634C6"/>
    <w:multiLevelType w:val="hybridMultilevel"/>
    <w:tmpl w:val="28DA998A"/>
    <w:lvl w:ilvl="0" w:tplc="2F344A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8"/>
  </w:num>
  <w:num w:numId="6">
    <w:abstractNumId w:val="2"/>
  </w:num>
  <w:num w:numId="7">
    <w:abstractNumId w:val="9"/>
  </w:num>
  <w:num w:numId="8">
    <w:abstractNumId w:val="1"/>
  </w:num>
  <w:num w:numId="9">
    <w:abstractNumId w:val="1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42"/>
    <w:rsid w:val="00002BD6"/>
    <w:rsid w:val="00046C02"/>
    <w:rsid w:val="000B7047"/>
    <w:rsid w:val="000D5AEB"/>
    <w:rsid w:val="00135112"/>
    <w:rsid w:val="0016081B"/>
    <w:rsid w:val="00180278"/>
    <w:rsid w:val="001D6847"/>
    <w:rsid w:val="001E5D4B"/>
    <w:rsid w:val="00204805"/>
    <w:rsid w:val="0022782A"/>
    <w:rsid w:val="00236A4F"/>
    <w:rsid w:val="003470B6"/>
    <w:rsid w:val="00350DCC"/>
    <w:rsid w:val="00387F20"/>
    <w:rsid w:val="00397342"/>
    <w:rsid w:val="003A6E40"/>
    <w:rsid w:val="003A7AE3"/>
    <w:rsid w:val="0044363A"/>
    <w:rsid w:val="00455D6F"/>
    <w:rsid w:val="00465A10"/>
    <w:rsid w:val="004E1F64"/>
    <w:rsid w:val="00526848"/>
    <w:rsid w:val="00543D91"/>
    <w:rsid w:val="00582B94"/>
    <w:rsid w:val="0058565B"/>
    <w:rsid w:val="005A0FDE"/>
    <w:rsid w:val="005C0E8C"/>
    <w:rsid w:val="005C462B"/>
    <w:rsid w:val="005D6B5B"/>
    <w:rsid w:val="005F0AD2"/>
    <w:rsid w:val="00601D65"/>
    <w:rsid w:val="00622AAB"/>
    <w:rsid w:val="00624A32"/>
    <w:rsid w:val="00640A42"/>
    <w:rsid w:val="00641CF2"/>
    <w:rsid w:val="00644103"/>
    <w:rsid w:val="00674715"/>
    <w:rsid w:val="006B2CE5"/>
    <w:rsid w:val="00701685"/>
    <w:rsid w:val="00716745"/>
    <w:rsid w:val="00755BC3"/>
    <w:rsid w:val="00761D53"/>
    <w:rsid w:val="0078354B"/>
    <w:rsid w:val="007B3383"/>
    <w:rsid w:val="007B4500"/>
    <w:rsid w:val="007C38D5"/>
    <w:rsid w:val="007C5B4B"/>
    <w:rsid w:val="00837874"/>
    <w:rsid w:val="00837C9D"/>
    <w:rsid w:val="00853FB7"/>
    <w:rsid w:val="00862686"/>
    <w:rsid w:val="00864938"/>
    <w:rsid w:val="008751F1"/>
    <w:rsid w:val="008814E3"/>
    <w:rsid w:val="00892EC8"/>
    <w:rsid w:val="008D7AFB"/>
    <w:rsid w:val="00907B8C"/>
    <w:rsid w:val="00936101"/>
    <w:rsid w:val="00957970"/>
    <w:rsid w:val="009646F0"/>
    <w:rsid w:val="00982BEB"/>
    <w:rsid w:val="009A2339"/>
    <w:rsid w:val="009A7803"/>
    <w:rsid w:val="009B3262"/>
    <w:rsid w:val="009E10D6"/>
    <w:rsid w:val="009E605C"/>
    <w:rsid w:val="009F31C3"/>
    <w:rsid w:val="009F3F44"/>
    <w:rsid w:val="00A27C7D"/>
    <w:rsid w:val="00A47545"/>
    <w:rsid w:val="00A64DBE"/>
    <w:rsid w:val="00A6671C"/>
    <w:rsid w:val="00A84E36"/>
    <w:rsid w:val="00AB230D"/>
    <w:rsid w:val="00AC1AAE"/>
    <w:rsid w:val="00AD4EF6"/>
    <w:rsid w:val="00AF1F9E"/>
    <w:rsid w:val="00B101B2"/>
    <w:rsid w:val="00B52BCB"/>
    <w:rsid w:val="00B74224"/>
    <w:rsid w:val="00B83B55"/>
    <w:rsid w:val="00B83CB0"/>
    <w:rsid w:val="00BA4DF7"/>
    <w:rsid w:val="00BF3EDE"/>
    <w:rsid w:val="00BF576D"/>
    <w:rsid w:val="00C00DB2"/>
    <w:rsid w:val="00C23731"/>
    <w:rsid w:val="00C27631"/>
    <w:rsid w:val="00C74472"/>
    <w:rsid w:val="00CA2026"/>
    <w:rsid w:val="00CE520B"/>
    <w:rsid w:val="00D53E79"/>
    <w:rsid w:val="00D674F1"/>
    <w:rsid w:val="00DA2FDF"/>
    <w:rsid w:val="00DB2DDF"/>
    <w:rsid w:val="00DE46C4"/>
    <w:rsid w:val="00E4385A"/>
    <w:rsid w:val="00E82633"/>
    <w:rsid w:val="00E8604C"/>
    <w:rsid w:val="00EE246E"/>
    <w:rsid w:val="00EE54D9"/>
    <w:rsid w:val="00F21F8C"/>
    <w:rsid w:val="00F57723"/>
    <w:rsid w:val="00F8721B"/>
    <w:rsid w:val="00F96C3E"/>
    <w:rsid w:val="00F97EB4"/>
    <w:rsid w:val="00FF5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C7B5B"/>
  <w15:chartTrackingRefBased/>
  <w15:docId w15:val="{AEB059C8-F59C-479B-8B6C-561749EE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7342"/>
    <w:rPr>
      <w:color w:val="0000FF"/>
      <w:u w:val="single"/>
    </w:rPr>
  </w:style>
  <w:style w:type="table" w:styleId="TableGrid">
    <w:name w:val="Table Grid"/>
    <w:basedOn w:val="TableNormal"/>
    <w:uiPriority w:val="59"/>
    <w:rsid w:val="00853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7970"/>
    <w:pPr>
      <w:ind w:left="720"/>
      <w:contextualSpacing/>
    </w:pPr>
  </w:style>
  <w:style w:type="character" w:styleId="CommentReference">
    <w:name w:val="annotation reference"/>
    <w:basedOn w:val="DefaultParagraphFont"/>
    <w:uiPriority w:val="99"/>
    <w:semiHidden/>
    <w:unhideWhenUsed/>
    <w:rsid w:val="0016081B"/>
    <w:rPr>
      <w:sz w:val="16"/>
      <w:szCs w:val="16"/>
    </w:rPr>
  </w:style>
  <w:style w:type="paragraph" w:styleId="CommentText">
    <w:name w:val="annotation text"/>
    <w:basedOn w:val="Normal"/>
    <w:link w:val="CommentTextChar"/>
    <w:uiPriority w:val="99"/>
    <w:semiHidden/>
    <w:unhideWhenUsed/>
    <w:rsid w:val="0016081B"/>
    <w:pPr>
      <w:spacing w:line="240" w:lineRule="auto"/>
    </w:pPr>
    <w:rPr>
      <w:sz w:val="20"/>
      <w:szCs w:val="20"/>
    </w:rPr>
  </w:style>
  <w:style w:type="character" w:customStyle="1" w:styleId="CommentTextChar">
    <w:name w:val="Comment Text Char"/>
    <w:basedOn w:val="DefaultParagraphFont"/>
    <w:link w:val="CommentText"/>
    <w:uiPriority w:val="99"/>
    <w:semiHidden/>
    <w:rsid w:val="0016081B"/>
    <w:rPr>
      <w:sz w:val="20"/>
      <w:szCs w:val="20"/>
    </w:rPr>
  </w:style>
  <w:style w:type="paragraph" w:styleId="CommentSubject">
    <w:name w:val="annotation subject"/>
    <w:basedOn w:val="CommentText"/>
    <w:next w:val="CommentText"/>
    <w:link w:val="CommentSubjectChar"/>
    <w:uiPriority w:val="99"/>
    <w:semiHidden/>
    <w:unhideWhenUsed/>
    <w:rsid w:val="0016081B"/>
    <w:rPr>
      <w:b/>
      <w:bCs/>
    </w:rPr>
  </w:style>
  <w:style w:type="character" w:customStyle="1" w:styleId="CommentSubjectChar">
    <w:name w:val="Comment Subject Char"/>
    <w:basedOn w:val="CommentTextChar"/>
    <w:link w:val="CommentSubject"/>
    <w:uiPriority w:val="99"/>
    <w:semiHidden/>
    <w:rsid w:val="0016081B"/>
    <w:rPr>
      <w:b/>
      <w:bCs/>
      <w:sz w:val="20"/>
      <w:szCs w:val="20"/>
    </w:rPr>
  </w:style>
  <w:style w:type="paragraph" w:styleId="BalloonText">
    <w:name w:val="Balloon Text"/>
    <w:basedOn w:val="Normal"/>
    <w:link w:val="BalloonTextChar"/>
    <w:uiPriority w:val="99"/>
    <w:semiHidden/>
    <w:unhideWhenUsed/>
    <w:rsid w:val="00160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81B"/>
    <w:rPr>
      <w:rFonts w:ascii="Segoe UI" w:hAnsi="Segoe UI" w:cs="Segoe UI"/>
      <w:sz w:val="18"/>
      <w:szCs w:val="18"/>
    </w:rPr>
  </w:style>
  <w:style w:type="paragraph" w:customStyle="1" w:styleId="Default">
    <w:name w:val="Default"/>
    <w:rsid w:val="00C7447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46C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C02"/>
  </w:style>
  <w:style w:type="paragraph" w:styleId="Footer">
    <w:name w:val="footer"/>
    <w:basedOn w:val="Normal"/>
    <w:link w:val="FooterChar"/>
    <w:uiPriority w:val="99"/>
    <w:unhideWhenUsed/>
    <w:rsid w:val="00046C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C02"/>
  </w:style>
  <w:style w:type="character" w:styleId="FollowedHyperlink">
    <w:name w:val="FollowedHyperlink"/>
    <w:basedOn w:val="DefaultParagraphFont"/>
    <w:uiPriority w:val="99"/>
    <w:semiHidden/>
    <w:unhideWhenUsed/>
    <w:rsid w:val="00E438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621242">
      <w:bodyDiv w:val="1"/>
      <w:marLeft w:val="0"/>
      <w:marRight w:val="0"/>
      <w:marTop w:val="0"/>
      <w:marBottom w:val="0"/>
      <w:divBdr>
        <w:top w:val="none" w:sz="0" w:space="0" w:color="auto"/>
        <w:left w:val="none" w:sz="0" w:space="0" w:color="auto"/>
        <w:bottom w:val="none" w:sz="0" w:space="0" w:color="auto"/>
        <w:right w:val="none" w:sz="0" w:space="0" w:color="auto"/>
      </w:divBdr>
      <w:divsChild>
        <w:div w:id="546919251">
          <w:marLeft w:val="0"/>
          <w:marRight w:val="0"/>
          <w:marTop w:val="0"/>
          <w:marBottom w:val="0"/>
          <w:divBdr>
            <w:top w:val="none" w:sz="0" w:space="0" w:color="auto"/>
            <w:left w:val="none" w:sz="0" w:space="0" w:color="auto"/>
            <w:bottom w:val="none" w:sz="0" w:space="0" w:color="auto"/>
            <w:right w:val="none" w:sz="0" w:space="0" w:color="auto"/>
          </w:divBdr>
        </w:div>
      </w:divsChild>
    </w:div>
    <w:div w:id="1215969831">
      <w:bodyDiv w:val="1"/>
      <w:marLeft w:val="0"/>
      <w:marRight w:val="0"/>
      <w:marTop w:val="0"/>
      <w:marBottom w:val="0"/>
      <w:divBdr>
        <w:top w:val="none" w:sz="0" w:space="0" w:color="auto"/>
        <w:left w:val="none" w:sz="0" w:space="0" w:color="auto"/>
        <w:bottom w:val="none" w:sz="0" w:space="0" w:color="auto"/>
        <w:right w:val="none" w:sz="0" w:space="0" w:color="auto"/>
      </w:divBdr>
      <w:divsChild>
        <w:div w:id="568658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so.hscni.net/directorates/digital/honest-broker-ser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1714</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Harbinson</dc:creator>
  <cp:keywords/>
  <dc:description/>
  <cp:lastModifiedBy>Rachel McKavanagh</cp:lastModifiedBy>
  <cp:revision>2</cp:revision>
  <dcterms:created xsi:type="dcterms:W3CDTF">2026-07-06T10:59:00Z</dcterms:created>
  <dcterms:modified xsi:type="dcterms:W3CDTF">2026-07-06T10:59:00Z</dcterms:modified>
</cp:coreProperties>
</file>