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2.png" ContentType="image/png"/>
  <Override PartName="/word/media/rId37.png" ContentType="image/png"/>
  <Override PartName="/word/media/rId42.png" ContentType="image/png"/>
  <Override PartName="/word/media/rId47.png" ContentType="image/png"/>
  <Override PartName="/word/media/rId52.png" ContentType="image/png"/>
  <Override PartName="/word/media/rId57.png" ContentType="image/png"/>
  <Override PartName="/word/media/rId62.png" ContentType="image/png"/>
  <Override PartName="/word/media/rId27.png" ContentType="image/png"/>
  <Override PartName="/word/media/rId73.png" ContentType="image/png"/>
  <Override PartName="/word/media/rId68.png" ContentType="image/png"/>
  <Override PartName="/word/media/rId23.png" ContentType="image/png"/>
  <Override PartName="/word/media/rId20.png" ContentType="image/png"/>
  <Override PartName="/word/media/image12.png" ContentType="image/png"/>
  <Override PartName="/word/media/image7.png" ContentType="image/png"/>
  <Override PartName="/word/media/image8.png" ContentType="image/png"/>
  <Override PartName="/word/media/image9.png" ContentType="image/png"/>
  <Override PartName="/word/media/image10.png" ContentType="image/png"/>
  <Override PartName="/word/media/image11.png" ContentType="image/png"/>
  <Override PartName="/word/media/image6.png" ContentType="image/png"/>
  <Override PartName="/word/media/image5.png" ContentType="image/png"/>
  <Override PartName="/word/media/image4.png" ContentType="image/png"/>
  <Override PartName="/word/media/image1.png" ContentType="image/png"/>
  <Override PartName="/word/media/image3.png" ContentType="image/png"/>
  <Override PartName="/word/media/image2.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tbl>
      <w:tblPr>
        <w:tblStyle w:val="Table"/>
        <w:tblW w:type="pct" w:w="5000"/>
        <w:tblLayout w:type="fixed"/>
        <w:tblLook w:firstRow="0" w:lastRow="0" w:firstColumn="0" w:lastColumn="0" w:noHBand="0" w:noVBand="0" w:val="0000"/>
      </w:tblPr>
      <w:tblGrid>
        <w:gridCol w:w="3960"/>
        <w:gridCol w:w="3960"/>
      </w:tblGrid>
      <w:tr>
        <w:tc>
          <w:tcPr/>
          <w:p>
            <w:pPr>
              <w:pStyle w:val="Compact"/>
              <w:jc w:val="left"/>
            </w:pPr>
            <w:r>
              <w:drawing>
                <wp:inline>
                  <wp:extent cx="1371600" cy="548440"/>
                  <wp:effectExtent b="0" l="0" r="0" t="0"/>
                  <wp:docPr descr="" title="" id="21" name="Picture"/>
                  <a:graphic>
                    <a:graphicData uri="http://schemas.openxmlformats.org/drawingml/2006/picture">
                      <pic:pic>
                        <pic:nvPicPr>
                          <pic:cNvPr descr="Customer-Satisfaction-Report_files/images/NISRA.png" id="22" name="Picture"/>
                          <pic:cNvPicPr>
                            <a:picLocks noChangeArrowheads="1" noChangeAspect="1"/>
                          </pic:cNvPicPr>
                        </pic:nvPicPr>
                        <pic:blipFill>
                          <a:blip r:embed="rId20"/>
                          <a:stretch>
                            <a:fillRect/>
                          </a:stretch>
                        </pic:blipFill>
                        <pic:spPr bwMode="auto">
                          <a:xfrm>
                            <a:off x="0" y="0"/>
                            <a:ext cx="1371600" cy="548440"/>
                          </a:xfrm>
                          <a:prstGeom prst="rect">
                            <a:avLst/>
                          </a:prstGeom>
                          <a:noFill/>
                          <a:ln w="9525">
                            <a:noFill/>
                            <a:headEnd/>
                            <a:tailEnd/>
                          </a:ln>
                        </pic:spPr>
                      </pic:pic>
                    </a:graphicData>
                  </a:graphic>
                </wp:inline>
              </w:drawing>
            </w:r>
          </w:p>
        </w:tc>
        <w:tc>
          <w:tcPr/>
          <w:p>
            <w:pPr>
              <w:pStyle w:val="Compact"/>
              <w:jc w:val="right"/>
            </w:pPr>
            <w:r>
              <w:drawing>
                <wp:inline>
                  <wp:extent cx="1554480" cy="654233"/>
                  <wp:effectExtent b="0" l="0" r="0" t="0"/>
                  <wp:docPr descr="" title="" id="24" name="Picture"/>
                  <a:graphic>
                    <a:graphicData uri="http://schemas.openxmlformats.org/drawingml/2006/picture">
                      <pic:pic>
                        <pic:nvPicPr>
                          <pic:cNvPr descr="Customer-Satisfaction-Report_files/images/BSO.png" id="25" name="Picture"/>
                          <pic:cNvPicPr>
                            <a:picLocks noChangeArrowheads="1" noChangeAspect="1"/>
                          </pic:cNvPicPr>
                        </pic:nvPicPr>
                        <pic:blipFill>
                          <a:blip r:embed="rId23"/>
                          <a:stretch>
                            <a:fillRect/>
                          </a:stretch>
                        </pic:blipFill>
                        <pic:spPr bwMode="auto">
                          <a:xfrm>
                            <a:off x="0" y="0"/>
                            <a:ext cx="1554480" cy="654233"/>
                          </a:xfrm>
                          <a:prstGeom prst="rect">
                            <a:avLst/>
                          </a:prstGeom>
                          <a:noFill/>
                          <a:ln w="9525">
                            <a:noFill/>
                            <a:headEnd/>
                            <a:tailEnd/>
                          </a:ln>
                        </pic:spPr>
                      </pic:pic>
                    </a:graphicData>
                  </a:graphic>
                </wp:inline>
              </w:drawing>
            </w:r>
          </w:p>
        </w:tc>
      </w:tr>
    </w:tbl>
    <w:bookmarkStart w:id="26" w:name="Xeda5d98b957cf9a9313715bf0ae7ff9f90cc0e3"/>
    <w:p>
      <w:pPr>
        <w:pStyle w:val="Heading1"/>
      </w:pPr>
      <w:r>
        <w:t xml:space="preserve">FPS Information Unit Customer Satisfaction Survey 2025/26</w:t>
      </w:r>
    </w:p>
    <w:p>
      <w:pPr>
        <w:pStyle w:val="FirstParagraph"/>
      </w:pPr>
      <w:r>
        <w:t xml:space="preserve">This survey was run in March 2026, utilising an online questionnaire (created in Citizen Space), and was issued to all of the key customers who had received a service from Information Unit in the previous business year - it had 35 responses. In terms of overall satisfaction, a separate exercise was conducted by the Honest Broker Service, where a more detailed e-questionnaire was issued to their research customers but which contained the same overall satisfaction question - and a further 8 responses were received to this.</w:t>
      </w:r>
    </w:p>
    <w:bookmarkEnd w:id="26"/>
    <w:bookmarkStart w:id="31" w:name="overall-satisfaction"/>
    <w:p>
      <w:pPr>
        <w:pStyle w:val="Heading1"/>
      </w:pPr>
      <w:r>
        <w:t xml:space="preserve">1. Overall Satisfaction</w:t>
      </w:r>
    </w:p>
    <w:p>
      <w:pPr>
        <w:pStyle w:val="FirstParagraph"/>
      </w:pPr>
      <w:r>
        <w:t xml:space="preserve">Question asked: Overall, how satisfied are you with the overall service provided by the Information Unit during 2025/26?</w:t>
      </w:r>
    </w:p>
    <w:p>
      <w:pPr>
        <w:pStyle w:val="BodyText"/>
      </w:pPr>
      <w:r>
        <w:t xml:space="preserve">This question received 35 responses from FPS and a further 8 from the Honest Broker Service</w:t>
      </w:r>
    </w:p>
    <w:p>
      <w:pPr>
        <w:pStyle w:val="BodyText"/>
      </w:pPr>
      <w:r>
        <w:drawing>
          <wp:inline>
            <wp:extent cx="6400800" cy="3200400"/>
            <wp:effectExtent b="0" l="0" r="0" t="0"/>
            <wp:docPr descr="" title="" id="28" name="Picture"/>
            <a:graphic>
              <a:graphicData uri="http://schemas.openxmlformats.org/drawingml/2006/picture">
                <pic:pic>
                  <pic:nvPicPr>
                    <pic:cNvPr descr="Customer-Satisfaction-Report_files/Customer-Satisfaction-Report_files/figure-docx/overall_satisfaction-1.png" id="29" name="Picture"/>
                    <pic:cNvPicPr>
                      <a:picLocks noChangeArrowheads="1" noChangeAspect="1"/>
                    </pic:cNvPicPr>
                  </pic:nvPicPr>
                  <pic:blipFill>
                    <a:blip r:embed="rId27"/>
                    <a:stretch>
                      <a:fillRect/>
                    </a:stretch>
                  </pic:blipFill>
                  <pic:spPr bwMode="auto">
                    <a:xfrm>
                      <a:off x="0" y="0"/>
                      <a:ext cx="6400800" cy="3200400"/>
                    </a:xfrm>
                    <a:prstGeom prst="rect">
                      <a:avLst/>
                    </a:prstGeom>
                    <a:noFill/>
                    <a:ln w="9525">
                      <a:noFill/>
                      <a:headEnd/>
                      <a:tailEnd/>
                    </a:ln>
                  </pic:spPr>
                </pic:pic>
              </a:graphicData>
            </a:graphic>
          </wp:inline>
        </w:drawing>
      </w:r>
    </w:p>
    <w:bookmarkStart w:id="30" w:name="X59dc5aa4cbe9933273d48cec3a0cba1c62cb6d9"/>
    <w:p>
      <w:pPr>
        <w:pStyle w:val="Heading2"/>
      </w:pPr>
      <w:r>
        <w:t xml:space="preserve">98% of respondents were at least satisfied with the service received with over 4 in 5 (84%) very satisfied.</w:t>
      </w:r>
    </w:p>
    <w:p>
      <w:r>
        <w:br w:type="page"/>
      </w:r>
    </w:p>
    <w:bookmarkEnd w:id="30"/>
    <w:bookmarkEnd w:id="31"/>
    <w:bookmarkStart w:id="67" w:name="X301efbe41bebc9338b57239f7011908d33c41f6"/>
    <w:p>
      <w:pPr>
        <w:pStyle w:val="Heading1"/>
      </w:pPr>
      <w:r>
        <w:t xml:space="preserve">2. Specific Aspects Relating to the Information Unit (FPS)</w:t>
      </w:r>
    </w:p>
    <w:p>
      <w:pPr>
        <w:pStyle w:val="FirstParagraph"/>
      </w:pPr>
      <w:r>
        <w:t xml:space="preserve">Question Asked: To what extent would you agree with the following aspects of your contact with the Information Unit during 2025/26?</w:t>
      </w:r>
    </w:p>
    <w:bookmarkStart w:id="35" w:name="X71b91541c82c6bcf52b3feda71ee653160a4778"/>
    <w:p>
      <w:pPr>
        <w:pStyle w:val="Heading2"/>
      </w:pPr>
      <w:r>
        <w:t xml:space="preserve">(a) Information Unit staff are knowledgeable</w:t>
      </w:r>
    </w:p>
    <w:p>
      <w:pPr>
        <w:pStyle w:val="FirstParagraph"/>
      </w:pPr>
      <w:r>
        <w:drawing>
          <wp:inline>
            <wp:extent cx="6400800" cy="3200400"/>
            <wp:effectExtent b="0" l="0" r="0" t="0"/>
            <wp:docPr descr="" title="" id="33" name="Picture"/>
            <a:graphic>
              <a:graphicData uri="http://schemas.openxmlformats.org/drawingml/2006/picture">
                <pic:pic>
                  <pic:nvPicPr>
                    <pic:cNvPr descr="Customer-Satisfaction-Report_files/Customer-Satisfaction-Report_files/figure-docx/aspects1_knowledge-1.png" id="34" name="Picture"/>
                    <pic:cNvPicPr>
                      <a:picLocks noChangeArrowheads="1" noChangeAspect="1"/>
                    </pic:cNvPicPr>
                  </pic:nvPicPr>
                  <pic:blipFill>
                    <a:blip r:embed="rId32"/>
                    <a:stretch>
                      <a:fillRect/>
                    </a:stretch>
                  </pic:blipFill>
                  <pic:spPr bwMode="auto">
                    <a:xfrm>
                      <a:off x="0" y="0"/>
                      <a:ext cx="6400800" cy="3200400"/>
                    </a:xfrm>
                    <a:prstGeom prst="rect">
                      <a:avLst/>
                    </a:prstGeom>
                    <a:noFill/>
                    <a:ln w="9525">
                      <a:noFill/>
                      <a:headEnd/>
                      <a:tailEnd/>
                    </a:ln>
                  </pic:spPr>
                </pic:pic>
              </a:graphicData>
            </a:graphic>
          </wp:inline>
        </w:drawing>
      </w:r>
    </w:p>
    <w:bookmarkEnd w:id="35"/>
    <w:bookmarkStart w:id="36" w:name="Xc0401d6863b6e763ba53f201c0483ada36d0694"/>
    <w:p>
      <w:pPr>
        <w:pStyle w:val="Heading2"/>
      </w:pPr>
      <w:r>
        <w:t xml:space="preserve">97% of respondents agreed that IU staff were knowledgeable, with almost three quarters (74%) strongly agreeing.</w:t>
      </w:r>
    </w:p>
    <w:p>
      <w:r>
        <w:br w:type="page"/>
      </w:r>
    </w:p>
    <w:bookmarkEnd w:id="36"/>
    <w:bookmarkStart w:id="40" w:name="X66d713162bd0843eeab239ac598914183bf62f2"/>
    <w:p>
      <w:pPr>
        <w:pStyle w:val="Heading2"/>
      </w:pPr>
      <w:r>
        <w:t xml:space="preserve">(b) Information Unit staff respond to my queries promptly</w:t>
      </w:r>
    </w:p>
    <w:p>
      <w:pPr>
        <w:pStyle w:val="FirstParagraph"/>
      </w:pPr>
      <w:r>
        <w:drawing>
          <wp:inline>
            <wp:extent cx="6400800" cy="3200400"/>
            <wp:effectExtent b="0" l="0" r="0" t="0"/>
            <wp:docPr descr="" title="" id="38" name="Picture"/>
            <a:graphic>
              <a:graphicData uri="http://schemas.openxmlformats.org/drawingml/2006/picture">
                <pic:pic>
                  <pic:nvPicPr>
                    <pic:cNvPr descr="Customer-Satisfaction-Report_files/Customer-Satisfaction-Report_files/figure-docx/aspects2_prompt-1.png" id="39" name="Picture"/>
                    <pic:cNvPicPr>
                      <a:picLocks noChangeArrowheads="1" noChangeAspect="1"/>
                    </pic:cNvPicPr>
                  </pic:nvPicPr>
                  <pic:blipFill>
                    <a:blip r:embed="rId37"/>
                    <a:stretch>
                      <a:fillRect/>
                    </a:stretch>
                  </pic:blipFill>
                  <pic:spPr bwMode="auto">
                    <a:xfrm>
                      <a:off x="0" y="0"/>
                      <a:ext cx="6400800" cy="3200400"/>
                    </a:xfrm>
                    <a:prstGeom prst="rect">
                      <a:avLst/>
                    </a:prstGeom>
                    <a:noFill/>
                    <a:ln w="9525">
                      <a:noFill/>
                      <a:headEnd/>
                      <a:tailEnd/>
                    </a:ln>
                  </pic:spPr>
                </pic:pic>
              </a:graphicData>
            </a:graphic>
          </wp:inline>
        </w:drawing>
      </w:r>
    </w:p>
    <w:bookmarkEnd w:id="40"/>
    <w:bookmarkStart w:id="41" w:name="Xc86234031525215cc9baf7fbd878f52989d093d"/>
    <w:p>
      <w:pPr>
        <w:pStyle w:val="Heading2"/>
      </w:pPr>
      <w:r>
        <w:t xml:space="preserve">All respondents agreed that staff responded to their queries promptly with the vast majority (83%) strongly agreeing.</w:t>
      </w:r>
    </w:p>
    <w:p>
      <w:r>
        <w:br w:type="page"/>
      </w:r>
    </w:p>
    <w:bookmarkEnd w:id="41"/>
    <w:bookmarkStart w:id="45" w:name="c-information-unit-staff-are-helpful"/>
    <w:p>
      <w:pPr>
        <w:pStyle w:val="Heading2"/>
      </w:pPr>
      <w:r>
        <w:t xml:space="preserve">(c) Information Unit staff are helpful</w:t>
      </w:r>
    </w:p>
    <w:p>
      <w:pPr>
        <w:pStyle w:val="FirstParagraph"/>
      </w:pPr>
      <w:r>
        <w:drawing>
          <wp:inline>
            <wp:extent cx="6400800" cy="3200400"/>
            <wp:effectExtent b="0" l="0" r="0" t="0"/>
            <wp:docPr descr="" title="" id="43" name="Picture"/>
            <a:graphic>
              <a:graphicData uri="http://schemas.openxmlformats.org/drawingml/2006/picture">
                <pic:pic>
                  <pic:nvPicPr>
                    <pic:cNvPr descr="Customer-Satisfaction-Report_files/Customer-Satisfaction-Report_files/figure-docx/aspects3_helpful-1.png" id="44" name="Picture"/>
                    <pic:cNvPicPr>
                      <a:picLocks noChangeArrowheads="1" noChangeAspect="1"/>
                    </pic:cNvPicPr>
                  </pic:nvPicPr>
                  <pic:blipFill>
                    <a:blip r:embed="rId42"/>
                    <a:stretch>
                      <a:fillRect/>
                    </a:stretch>
                  </pic:blipFill>
                  <pic:spPr bwMode="auto">
                    <a:xfrm>
                      <a:off x="0" y="0"/>
                      <a:ext cx="6400800" cy="3200400"/>
                    </a:xfrm>
                    <a:prstGeom prst="rect">
                      <a:avLst/>
                    </a:prstGeom>
                    <a:noFill/>
                    <a:ln w="9525">
                      <a:noFill/>
                      <a:headEnd/>
                      <a:tailEnd/>
                    </a:ln>
                  </pic:spPr>
                </pic:pic>
              </a:graphicData>
            </a:graphic>
          </wp:inline>
        </w:drawing>
      </w:r>
    </w:p>
    <w:bookmarkEnd w:id="45"/>
    <w:bookmarkStart w:id="46" w:name="Xc735a484400c9beced19d287ffc8f6a1e4a7b6b"/>
    <w:p>
      <w:pPr>
        <w:pStyle w:val="Heading2"/>
      </w:pPr>
      <w:r>
        <w:t xml:space="preserve">All respondents agreed that staff are helpful with the vast majority (86%) strongly agreeing.</w:t>
      </w:r>
    </w:p>
    <w:p>
      <w:r>
        <w:br w:type="page"/>
      </w:r>
    </w:p>
    <w:bookmarkEnd w:id="46"/>
    <w:bookmarkStart w:id="50" w:name="X38fcb2b7123e59787995d22c830991a4e2a1780"/>
    <w:p>
      <w:pPr>
        <w:pStyle w:val="Heading2"/>
      </w:pPr>
      <w:r>
        <w:t xml:space="preserve">(d) Information Unit staff are courteous and treat customers with respect</w:t>
      </w:r>
    </w:p>
    <w:p>
      <w:pPr>
        <w:pStyle w:val="FirstParagraph"/>
      </w:pPr>
      <w:r>
        <w:drawing>
          <wp:inline>
            <wp:extent cx="6400800" cy="3200400"/>
            <wp:effectExtent b="0" l="0" r="0" t="0"/>
            <wp:docPr descr="" title="" id="48" name="Picture"/>
            <a:graphic>
              <a:graphicData uri="http://schemas.openxmlformats.org/drawingml/2006/picture">
                <pic:pic>
                  <pic:nvPicPr>
                    <pic:cNvPr descr="Customer-Satisfaction-Report_files/Customer-Satisfaction-Report_files/figure-docx/aspects4_respect-1.png" id="49" name="Picture"/>
                    <pic:cNvPicPr>
                      <a:picLocks noChangeArrowheads="1" noChangeAspect="1"/>
                    </pic:cNvPicPr>
                  </pic:nvPicPr>
                  <pic:blipFill>
                    <a:blip r:embed="rId47"/>
                    <a:stretch>
                      <a:fillRect/>
                    </a:stretch>
                  </pic:blipFill>
                  <pic:spPr bwMode="auto">
                    <a:xfrm>
                      <a:off x="0" y="0"/>
                      <a:ext cx="6400800" cy="3200400"/>
                    </a:xfrm>
                    <a:prstGeom prst="rect">
                      <a:avLst/>
                    </a:prstGeom>
                    <a:noFill/>
                    <a:ln w="9525">
                      <a:noFill/>
                      <a:headEnd/>
                      <a:tailEnd/>
                    </a:ln>
                  </pic:spPr>
                </pic:pic>
              </a:graphicData>
            </a:graphic>
          </wp:inline>
        </w:drawing>
      </w:r>
    </w:p>
    <w:bookmarkEnd w:id="50"/>
    <w:bookmarkStart w:id="51" w:name="Xee528c0f0ca35af706c7c9edce5f4aaefc7878e"/>
    <w:p>
      <w:pPr>
        <w:pStyle w:val="Heading2"/>
      </w:pPr>
      <w:r>
        <w:t xml:space="preserve">All respondents agreed that staff are courteous and treat customers with respect, with the vast majority (86%) strongly agreeing.</w:t>
      </w:r>
    </w:p>
    <w:p>
      <w:r>
        <w:br w:type="page"/>
      </w:r>
    </w:p>
    <w:bookmarkEnd w:id="51"/>
    <w:bookmarkStart w:id="55" w:name="X565a9439850e5173a5163efb0b20f0744d51353"/>
    <w:p>
      <w:pPr>
        <w:pStyle w:val="Heading2"/>
      </w:pPr>
      <w:r>
        <w:t xml:space="preserve">(e) Information Unit staff engage with their customers and stakeholders</w:t>
      </w:r>
    </w:p>
    <w:p>
      <w:pPr>
        <w:pStyle w:val="FirstParagraph"/>
      </w:pPr>
      <w:r>
        <w:drawing>
          <wp:inline>
            <wp:extent cx="6400800" cy="3200400"/>
            <wp:effectExtent b="0" l="0" r="0" t="0"/>
            <wp:docPr descr="" title="" id="53" name="Picture"/>
            <a:graphic>
              <a:graphicData uri="http://schemas.openxmlformats.org/drawingml/2006/picture">
                <pic:pic>
                  <pic:nvPicPr>
                    <pic:cNvPr descr="Customer-Satisfaction-Report_files/Customer-Satisfaction-Report_files/figure-docx/aspects5_engagement-1.png" id="54" name="Picture"/>
                    <pic:cNvPicPr>
                      <a:picLocks noChangeArrowheads="1" noChangeAspect="1"/>
                    </pic:cNvPicPr>
                  </pic:nvPicPr>
                  <pic:blipFill>
                    <a:blip r:embed="rId52"/>
                    <a:stretch>
                      <a:fillRect/>
                    </a:stretch>
                  </pic:blipFill>
                  <pic:spPr bwMode="auto">
                    <a:xfrm>
                      <a:off x="0" y="0"/>
                      <a:ext cx="6400800" cy="3200400"/>
                    </a:xfrm>
                    <a:prstGeom prst="rect">
                      <a:avLst/>
                    </a:prstGeom>
                    <a:noFill/>
                    <a:ln w="9525">
                      <a:noFill/>
                      <a:headEnd/>
                      <a:tailEnd/>
                    </a:ln>
                  </pic:spPr>
                </pic:pic>
              </a:graphicData>
            </a:graphic>
          </wp:inline>
        </w:drawing>
      </w:r>
    </w:p>
    <w:bookmarkEnd w:id="55"/>
    <w:bookmarkStart w:id="56" w:name="X22bb960a5bf0f6867b9a05482e9920ed8476819"/>
    <w:p>
      <w:pPr>
        <w:pStyle w:val="Heading2"/>
      </w:pPr>
      <w:r>
        <w:t xml:space="preserve">91% of respondents agreed that staff engage with their customers and stakeholders, with over three quarters (77%) strongly agreeing.</w:t>
      </w:r>
    </w:p>
    <w:p>
      <w:r>
        <w:br w:type="page"/>
      </w:r>
    </w:p>
    <w:bookmarkEnd w:id="56"/>
    <w:bookmarkStart w:id="60" w:name="X1b24c1de8117cc66b2ea7dd790584f0a31aec7e"/>
    <w:p>
      <w:pPr>
        <w:pStyle w:val="Heading2"/>
      </w:pPr>
      <w:r>
        <w:t xml:space="preserve">(f) Information Unit analysis informs my work</w:t>
      </w:r>
    </w:p>
    <w:p>
      <w:pPr>
        <w:pStyle w:val="FirstParagraph"/>
      </w:pPr>
      <w:r>
        <w:drawing>
          <wp:inline>
            <wp:extent cx="6400800" cy="3200400"/>
            <wp:effectExtent b="0" l="0" r="0" t="0"/>
            <wp:docPr descr="" title="" id="58" name="Picture"/>
            <a:graphic>
              <a:graphicData uri="http://schemas.openxmlformats.org/drawingml/2006/picture">
                <pic:pic>
                  <pic:nvPicPr>
                    <pic:cNvPr descr="Customer-Satisfaction-Report_files/Customer-Satisfaction-Report_files/figure-docx/aspects6_informative-1.png" id="59" name="Picture"/>
                    <pic:cNvPicPr>
                      <a:picLocks noChangeArrowheads="1" noChangeAspect="1"/>
                    </pic:cNvPicPr>
                  </pic:nvPicPr>
                  <pic:blipFill>
                    <a:blip r:embed="rId57"/>
                    <a:stretch>
                      <a:fillRect/>
                    </a:stretch>
                  </pic:blipFill>
                  <pic:spPr bwMode="auto">
                    <a:xfrm>
                      <a:off x="0" y="0"/>
                      <a:ext cx="6400800" cy="3200400"/>
                    </a:xfrm>
                    <a:prstGeom prst="rect">
                      <a:avLst/>
                    </a:prstGeom>
                    <a:noFill/>
                    <a:ln w="9525">
                      <a:noFill/>
                      <a:headEnd/>
                      <a:tailEnd/>
                    </a:ln>
                  </pic:spPr>
                </pic:pic>
              </a:graphicData>
            </a:graphic>
          </wp:inline>
        </w:drawing>
      </w:r>
    </w:p>
    <w:bookmarkEnd w:id="60"/>
    <w:bookmarkStart w:id="61" w:name="X3b2ad03d105fcfbda7954b75bc5e462844816f8"/>
    <w:p>
      <w:pPr>
        <w:pStyle w:val="Heading2"/>
      </w:pPr>
      <w:r>
        <w:t xml:space="preserve">94% of respondents agreed that IU analysis informed their work, with two thirds (66%) strongly agreeing.</w:t>
      </w:r>
    </w:p>
    <w:p>
      <w:r>
        <w:br w:type="page"/>
      </w:r>
    </w:p>
    <w:bookmarkEnd w:id="61"/>
    <w:bookmarkStart w:id="65" w:name="X128aa3fd23fe9590eb4be3b4a4783ec0d359f96"/>
    <w:p>
      <w:pPr>
        <w:pStyle w:val="Heading2"/>
      </w:pPr>
      <w:r>
        <w:t xml:space="preserve">(g) Information Unit analysis is presented and explained clearly</w:t>
      </w:r>
    </w:p>
    <w:p>
      <w:pPr>
        <w:pStyle w:val="FirstParagraph"/>
      </w:pPr>
      <w:r>
        <w:drawing>
          <wp:inline>
            <wp:extent cx="6400800" cy="3200400"/>
            <wp:effectExtent b="0" l="0" r="0" t="0"/>
            <wp:docPr descr="" title="" id="63" name="Picture"/>
            <a:graphic>
              <a:graphicData uri="http://schemas.openxmlformats.org/drawingml/2006/picture">
                <pic:pic>
                  <pic:nvPicPr>
                    <pic:cNvPr descr="Customer-Satisfaction-Report_files/Customer-Satisfaction-Report_files/figure-docx/aspects7_explained-1.png" id="64" name="Picture"/>
                    <pic:cNvPicPr>
                      <a:picLocks noChangeArrowheads="1" noChangeAspect="1"/>
                    </pic:cNvPicPr>
                  </pic:nvPicPr>
                  <pic:blipFill>
                    <a:blip r:embed="rId62"/>
                    <a:stretch>
                      <a:fillRect/>
                    </a:stretch>
                  </pic:blipFill>
                  <pic:spPr bwMode="auto">
                    <a:xfrm>
                      <a:off x="0" y="0"/>
                      <a:ext cx="6400800" cy="3200400"/>
                    </a:xfrm>
                    <a:prstGeom prst="rect">
                      <a:avLst/>
                    </a:prstGeom>
                    <a:noFill/>
                    <a:ln w="9525">
                      <a:noFill/>
                      <a:headEnd/>
                      <a:tailEnd/>
                    </a:ln>
                  </pic:spPr>
                </pic:pic>
              </a:graphicData>
            </a:graphic>
          </wp:inline>
        </w:drawing>
      </w:r>
    </w:p>
    <w:bookmarkEnd w:id="65"/>
    <w:bookmarkStart w:id="66" w:name="Xea0842f51f8143daeb62d201e6f564fdd4dd361"/>
    <w:p>
      <w:pPr>
        <w:pStyle w:val="Heading2"/>
      </w:pPr>
      <w:r>
        <w:t xml:space="preserve">88% of respondents agreed that IU analysis is presented and explained clearly, with almost three quarters (74%) strongly agreeing.</w:t>
      </w:r>
    </w:p>
    <w:p>
      <w:r>
        <w:br w:type="page"/>
      </w:r>
    </w:p>
    <w:bookmarkEnd w:id="66"/>
    <w:bookmarkEnd w:id="67"/>
    <w:bookmarkStart w:id="72" w:name="services-used-by-respondents"/>
    <w:p>
      <w:pPr>
        <w:pStyle w:val="Heading1"/>
      </w:pPr>
      <w:r>
        <w:t xml:space="preserve">3. Services Used by Respondents</w:t>
      </w:r>
    </w:p>
    <w:p>
      <w:pPr>
        <w:pStyle w:val="FirstParagraph"/>
      </w:pPr>
      <w:r>
        <w:t xml:space="preserve">Question asked: BSO Information Unit provides services across a range of areas. Which of the following services do you use? (Note that respondents could choose more than one option.)</w:t>
      </w:r>
    </w:p>
    <w:p>
      <w:pPr>
        <w:pStyle w:val="BodyText"/>
      </w:pPr>
      <w:r>
        <w:drawing>
          <wp:inline>
            <wp:extent cx="6400800" cy="3200400"/>
            <wp:effectExtent b="0" l="0" r="0" t="0"/>
            <wp:docPr descr="" title="" id="69" name="Picture"/>
            <a:graphic>
              <a:graphicData uri="http://schemas.openxmlformats.org/drawingml/2006/picture">
                <pic:pic>
                  <pic:nvPicPr>
                    <pic:cNvPr descr="Customer-Satisfaction-Report_files/Customer-Satisfaction-Report_files/figure-docx/services_used-1.png" id="70" name="Picture"/>
                    <pic:cNvPicPr>
                      <a:picLocks noChangeArrowheads="1" noChangeAspect="1"/>
                    </pic:cNvPicPr>
                  </pic:nvPicPr>
                  <pic:blipFill>
                    <a:blip r:embed="rId68"/>
                    <a:stretch>
                      <a:fillRect/>
                    </a:stretch>
                  </pic:blipFill>
                  <pic:spPr bwMode="auto">
                    <a:xfrm>
                      <a:off x="0" y="0"/>
                      <a:ext cx="6400800" cy="3200400"/>
                    </a:xfrm>
                    <a:prstGeom prst="rect">
                      <a:avLst/>
                    </a:prstGeom>
                    <a:noFill/>
                    <a:ln w="9525">
                      <a:noFill/>
                      <a:headEnd/>
                      <a:tailEnd/>
                    </a:ln>
                  </pic:spPr>
                </pic:pic>
              </a:graphicData>
            </a:graphic>
          </wp:inline>
        </w:drawing>
      </w:r>
    </w:p>
    <w:bookmarkStart w:id="71" w:name="X6c8effb98ec0cc73b6ec1c3897b3383c21e62a6"/>
    <w:p>
      <w:pPr>
        <w:pStyle w:val="Heading2"/>
      </w:pPr>
      <w:r>
        <w:t xml:space="preserve">General Pharmaceutical Services were used by almost half (49%) of all respondents whereas only around one in ten (11%) used Counter Fraud and Probity.</w:t>
      </w:r>
    </w:p>
    <w:p>
      <w:r>
        <w:br w:type="page"/>
      </w:r>
    </w:p>
    <w:bookmarkEnd w:id="71"/>
    <w:bookmarkEnd w:id="72"/>
    <w:bookmarkStart w:id="77" w:name="respondents-role"/>
    <w:p>
      <w:pPr>
        <w:pStyle w:val="Heading1"/>
      </w:pPr>
      <w:r>
        <w:t xml:space="preserve">4. Respondent’s Role</w:t>
      </w:r>
    </w:p>
    <w:p>
      <w:pPr>
        <w:pStyle w:val="FirstParagraph"/>
      </w:pPr>
      <w:r>
        <w:t xml:space="preserve">Question asked: which of the following sectors best describes your role?</w:t>
      </w:r>
    </w:p>
    <w:p>
      <w:pPr>
        <w:pStyle w:val="BodyText"/>
      </w:pPr>
      <w:r>
        <w:drawing>
          <wp:inline>
            <wp:extent cx="6400800" cy="3200400"/>
            <wp:effectExtent b="0" l="0" r="0" t="0"/>
            <wp:docPr descr="" title="" id="74" name="Picture"/>
            <a:graphic>
              <a:graphicData uri="http://schemas.openxmlformats.org/drawingml/2006/picture">
                <pic:pic>
                  <pic:nvPicPr>
                    <pic:cNvPr descr="Customer-Satisfaction-Report_files/Customer-Satisfaction-Report_files/figure-docx/role-1.png" id="75" name="Picture"/>
                    <pic:cNvPicPr>
                      <a:picLocks noChangeArrowheads="1" noChangeAspect="1"/>
                    </pic:cNvPicPr>
                  </pic:nvPicPr>
                  <pic:blipFill>
                    <a:blip r:embed="rId73"/>
                    <a:stretch>
                      <a:fillRect/>
                    </a:stretch>
                  </pic:blipFill>
                  <pic:spPr bwMode="auto">
                    <a:xfrm>
                      <a:off x="0" y="0"/>
                      <a:ext cx="6400800" cy="3200400"/>
                    </a:xfrm>
                    <a:prstGeom prst="rect">
                      <a:avLst/>
                    </a:prstGeom>
                    <a:noFill/>
                    <a:ln w="9525">
                      <a:noFill/>
                      <a:headEnd/>
                      <a:tailEnd/>
                    </a:ln>
                  </pic:spPr>
                </pic:pic>
              </a:graphicData>
            </a:graphic>
          </wp:inline>
        </w:drawing>
      </w:r>
    </w:p>
    <w:bookmarkStart w:id="76" w:name="X187e20b73e2bebd7733cf52474db36b1faeb8f8"/>
    <w:p>
      <w:pPr>
        <w:pStyle w:val="Heading2"/>
      </w:pPr>
      <w:r>
        <w:t xml:space="preserve">The largest proportion of respondents were from the Department of Health’s Strategic Planning and Performance Group (SPPG), who commission the Info Unit’s analytical work programme, with approaching half (46%) drawn from this background.</w:t>
      </w:r>
    </w:p>
    <w:p>
      <w:r>
        <w:br w:type="page"/>
      </w:r>
    </w:p>
    <w:bookmarkEnd w:id="76"/>
    <w:bookmarkEnd w:id="77"/>
    <w:bookmarkStart w:id="78" w:name="additional-comments"/>
    <w:p>
      <w:pPr>
        <w:pStyle w:val="Heading1"/>
      </w:pPr>
      <w:r>
        <w:t xml:space="preserve">5. Additional Comments</w:t>
      </w:r>
    </w:p>
    <w:p>
      <w:pPr>
        <w:pStyle w:val="FirstParagraph"/>
      </w:pPr>
      <w:r>
        <w:t xml:space="preserve">Respondents were asked if they had any additional feedback. A range of the feedback has been included below:</w:t>
      </w:r>
    </w:p>
    <w:p>
      <w:pPr>
        <w:numPr>
          <w:ilvl w:val="0"/>
          <w:numId w:val="1001"/>
        </w:numPr>
      </w:pPr>
      <w:r>
        <w:t xml:space="preserve">An outstanding team, in terms of knowledge, competence and willingness to support and engage.</w:t>
      </w:r>
    </w:p>
    <w:p>
      <w:pPr>
        <w:numPr>
          <w:ilvl w:val="0"/>
          <w:numId w:val="1001"/>
        </w:numPr>
      </w:pPr>
      <w:r>
        <w:t xml:space="preserve">The Information Unit is a team I can rely on completely to respond to my requests promptly and efficiently. They are consistently helpful, professional, and approachable. Thank You &amp; keep up the good work.</w:t>
      </w:r>
    </w:p>
    <w:p>
      <w:pPr>
        <w:numPr>
          <w:ilvl w:val="0"/>
          <w:numId w:val="1001"/>
        </w:numPr>
      </w:pPr>
      <w:r>
        <w:t xml:space="preserve">I engage with the FPS Information Unit frequently in respect of information being processed on behalf of SPPG. The staff are helpful, knowledgeable and supportive and I’ve no issues or concerns with the work/assistance they provide. On a wider note I think the overall relationship between SPPG and BSO would benefit from some attention, there is clearly a need to review roles and responsibilities and document these in up to date service level agreements.</w:t>
      </w:r>
    </w:p>
    <w:p>
      <w:pPr>
        <w:numPr>
          <w:ilvl w:val="0"/>
          <w:numId w:val="1001"/>
        </w:numPr>
      </w:pPr>
      <w:r>
        <w:t xml:space="preserve">My interactions were in relation to primary and secondary care prescribing data. On each occasion the response was almost by return and further questions were answered clearly and quickly.</w:t>
      </w:r>
    </w:p>
    <w:p>
      <w:pPr>
        <w:numPr>
          <w:ilvl w:val="0"/>
          <w:numId w:val="1001"/>
        </w:numPr>
      </w:pPr>
      <w:r>
        <w:t xml:space="preserve">Always excellent help and support from the IU staff - wonderful in all they do.</w:t>
      </w:r>
    </w:p>
    <w:p>
      <w:pPr>
        <w:numPr>
          <w:ilvl w:val="0"/>
          <w:numId w:val="1001"/>
        </w:numPr>
      </w:pPr>
      <w:r>
        <w:t xml:space="preserve">Always professional, responsive and agile, the outputs of IU are trusted and valued and a key component to planning, managing and assuring services and outcomes.</w:t>
      </w:r>
    </w:p>
    <w:p>
      <w:pPr>
        <w:numPr>
          <w:ilvl w:val="0"/>
          <w:numId w:val="1001"/>
        </w:numPr>
      </w:pPr>
      <w:r>
        <w:t xml:space="preserve">IU staff are always extremely helpful and constructive in facilitating any requests - taking time to consider the request and advising on options based on their expertise. Ultimately, this means the requests are more suited to my needs.</w:t>
      </w:r>
    </w:p>
    <w:p>
      <w:pPr>
        <w:numPr>
          <w:ilvl w:val="0"/>
          <w:numId w:val="1001"/>
        </w:numPr>
      </w:pPr>
      <w:r>
        <w:t xml:space="preserve">Engage in relation to customer needs before making changes to what and how data is captured and data layout.</w:t>
      </w:r>
    </w:p>
    <w:p>
      <w:pPr>
        <w:numPr>
          <w:ilvl w:val="0"/>
          <w:numId w:val="1001"/>
        </w:numPr>
      </w:pPr>
      <w:r>
        <w:t xml:space="preserve">Excellent service.</w:t>
      </w:r>
    </w:p>
    <w:p>
      <w:pPr>
        <w:numPr>
          <w:ilvl w:val="0"/>
          <w:numId w:val="1001"/>
        </w:numPr>
      </w:pPr>
      <w:r>
        <w:t xml:space="preserve">Extremely helpful - SPPG relies heavily on the expertise of all staff</w:t>
      </w:r>
    </w:p>
    <w:p>
      <w:pPr>
        <w:numPr>
          <w:ilvl w:val="0"/>
          <w:numId w:val="1001"/>
        </w:numPr>
      </w:pPr>
      <w:r>
        <w:t xml:space="preserve">Information Unit are a vital support to delivering our business and the team are very approachable and flexible. The official statistics are particularly helpful in answering AQs &amp; CORs and informing business planning.</w:t>
      </w:r>
    </w:p>
    <w:bookmarkEnd w:id="78"/>
    <w:sectPr w:rsidR="002426A8" w:rsidSect="006531A4">
      <w:footnotePr>
        <w:numRestart w:val="eachSect"/>
      </w:footnotePr>
      <w:pgSz w:h="15840" w:w="12240"/>
      <w:pgMar w:bottom="1077" w:footer="720" w:gutter="0" w:header="720" w:left="1077" w:right="1077" w:top="1077"/>
      <w:cols w:space="720"/>
      <w:docGrid w:linePitch="3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ptos Display">
    <w:altName w:val="Calibri"/>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aink="http://schemas.microsoft.com/office/drawing/2016/ink" xmlns:am3d="http://schemas.microsoft.com/office/drawing/2017/model3d"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cid="http://schemas.microsoft.com/office/word/2016/wordml/cid"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16cid wp14">
  <w:abstractNum w15:restartNumberingAfterBreak="0" w:abstractNumId="0">
    <w:nsid w:val="0000A990"/>
    <w:multiLevelType w:val="multilevel"/>
    <w:tmpl w:val="110678CA"/>
    <w:lvl w:ilvl="0">
      <w:numFmt w:val="bullet"/>
      <w:lvlText w:val=" "/>
      <w:lvlJc w:val="left"/>
      <w:pPr>
        <w:ind w:hanging="360" w:left="720"/>
      </w:pPr>
    </w:lvl>
    <w:lvl w:ilvl="1">
      <w:numFmt w:val="bullet"/>
      <w:lvlText w:val=" "/>
      <w:lvlJc w:val="left"/>
      <w:pPr>
        <w:ind w:hanging="360" w:left="1440"/>
      </w:pPr>
    </w:lvl>
    <w:lvl w:ilvl="2">
      <w:numFmt w:val="bullet"/>
      <w:lvlText w:val=" "/>
      <w:lvlJc w:val="left"/>
      <w:pPr>
        <w:ind w:hanging="360" w:left="2160"/>
      </w:pPr>
    </w:lvl>
    <w:lvl w:ilvl="3">
      <w:numFmt w:val="bullet"/>
      <w:lvlText w:val=" "/>
      <w:lvlJc w:val="left"/>
      <w:pPr>
        <w:ind w:hanging="360" w:left="2880"/>
      </w:pPr>
    </w:lvl>
    <w:lvl w:ilvl="4">
      <w:numFmt w:val="bullet"/>
      <w:lvlText w:val=" "/>
      <w:lvlJc w:val="left"/>
      <w:pPr>
        <w:ind w:hanging="360" w:left="3600"/>
      </w:pPr>
    </w:lvl>
    <w:lvl w:ilvl="5">
      <w:numFmt w:val="bullet"/>
      <w:lvlText w:val=" "/>
      <w:lvlJc w:val="left"/>
      <w:pPr>
        <w:ind w:hanging="360" w:left="4320"/>
      </w:pPr>
    </w:lvl>
    <w:lvl w:ilvl="6">
      <w:numFmt w:val="bullet"/>
      <w:lvlText w:val=" "/>
      <w:lvlJc w:val="left"/>
      <w:pPr>
        <w:ind w:hanging="360" w:left="5040"/>
      </w:pPr>
    </w:lvl>
    <w:lvl w:ilvl="7">
      <w:numFmt w:val="bullet"/>
      <w:lvlText w:val=" "/>
      <w:lvlJc w:val="left"/>
      <w:pPr>
        <w:ind w:hanging="360" w:left="5760"/>
      </w:pPr>
    </w:lvl>
    <w:lvl w:ilvl="8">
      <w:numFmt w:val="bullet"/>
      <w:lvlText w:val=" "/>
      <w:lvlJc w:val="left"/>
      <w:pPr>
        <w:ind w:hanging="360" w:left="6480"/>
      </w:pPr>
    </w:lvl>
  </w:abstractNum>
  <w:abstractNum w15:restartNumberingAfterBreak="0" w:abstractNumId="1">
    <w:nsid w:val="0000A991"/>
    <w:multiLevelType w:val="multilevel"/>
    <w:tmpl w:val="8138E9E2"/>
    <w:lvl w:ilvl="0">
      <w:numFmt w:val="bullet"/>
      <w:lvlText w:val=""/>
      <w:lvlJc w:val="left"/>
      <w:pPr>
        <w:ind w:hanging="360" w:left="720"/>
      </w:pPr>
      <w:rPr>
        <w:rFonts w:ascii="Symbol" w:cs="Symbol" w:hAnsi="Symbol" w:hint="default"/>
      </w:rPr>
    </w:lvl>
    <w:lvl w:ilvl="1">
      <w:numFmt w:val="bullet"/>
      <w:lvlText w:val="o"/>
      <w:lvlJc w:val="left"/>
      <w:pPr>
        <w:ind w:hanging="360" w:left="1440"/>
      </w:pPr>
      <w:rPr>
        <w:rFonts w:ascii="Courier New" w:cs="Courier New" w:hAnsi="Courier New" w:hint="default"/>
      </w:rPr>
    </w:lvl>
    <w:lvl w:ilvl="2">
      <w:numFmt w:val="bullet"/>
      <w:lvlText w:val=""/>
      <w:lvlJc w:val="left"/>
      <w:pPr>
        <w:ind w:hanging="360" w:left="2160"/>
      </w:pPr>
      <w:rPr>
        <w:rFonts w:ascii="Wingdings" w:cs="Wingdings" w:hAnsi="Wingdings" w:hint="default"/>
      </w:rPr>
    </w:lvl>
    <w:lvl w:ilvl="3">
      <w:numFmt w:val="bullet"/>
      <w:lvlText w:val=""/>
      <w:lvlJc w:val="left"/>
      <w:pPr>
        <w:ind w:hanging="360" w:left="2880"/>
      </w:pPr>
      <w:rPr>
        <w:rFonts w:ascii="Symbol" w:cs="Symbol" w:hAnsi="Symbol" w:hint="default"/>
      </w:rPr>
    </w:lvl>
    <w:lvl w:ilvl="4">
      <w:numFmt w:val="bullet"/>
      <w:lvlText w:val="o"/>
      <w:lvlJc w:val="left"/>
      <w:pPr>
        <w:ind w:hanging="360" w:left="3600"/>
      </w:pPr>
      <w:rPr>
        <w:rFonts w:ascii="Courier New" w:cs="Courier New" w:hAnsi="Courier New" w:hint="default"/>
      </w:rPr>
    </w:lvl>
    <w:lvl w:ilvl="5">
      <w:numFmt w:val="bullet"/>
      <w:lvlText w:val=""/>
      <w:lvlJc w:val="left"/>
      <w:pPr>
        <w:ind w:hanging="360" w:left="4320"/>
      </w:pPr>
      <w:rPr>
        <w:rFonts w:ascii="Wingdings" w:cs="Wingdings" w:hAnsi="Wingdings" w:hint="default"/>
      </w:rPr>
    </w:lvl>
    <w:lvl w:ilvl="6">
      <w:numFmt w:val="bullet"/>
      <w:lvlText w:val=""/>
      <w:lvlJc w:val="left"/>
      <w:pPr>
        <w:ind w:hanging="360" w:left="5040"/>
      </w:pPr>
      <w:rPr>
        <w:rFonts w:ascii="Symbol" w:cs="Symbol" w:hAnsi="Symbol" w:hint="default"/>
      </w:rPr>
    </w:lvl>
    <w:lvl w:ilvl="7">
      <w:numFmt w:val="bullet"/>
      <w:lvlText w:val="o"/>
      <w:lvlJc w:val="left"/>
      <w:pPr>
        <w:ind w:hanging="360" w:left="5760"/>
      </w:pPr>
      <w:rPr>
        <w:rFonts w:ascii="Courier New" w:cs="Courier New" w:hAnsi="Courier New" w:hint="default"/>
      </w:rPr>
    </w:lvl>
    <w:lvl w:ilvl="8">
      <w:numFmt w:val="bullet"/>
      <w:lvlText w:val=""/>
      <w:lvlJc w:val="left"/>
      <w:pPr>
        <w:ind w:hanging="360" w:left="6480"/>
      </w:pPr>
      <w:rPr>
        <w:rFonts w:ascii="Wingdings" w:cs="Wingdings" w:hAnsi="Wingdings" w:hint="default"/>
      </w:rPr>
    </w:lvl>
  </w:abstractNum>
  <w:abstractNum w15:restartNumberingAfterBreak="0" w:abstractNumId="2">
    <w:nsid w:val="00F43482"/>
    <w:multiLevelType w:val="hybridMultilevel"/>
    <w:tmpl w:val="632AD208"/>
    <w:lvl w:ilvl="0" w:tplc="0809000F">
      <w:start w:val="1"/>
      <w:numFmt w:val="decimal"/>
      <w:lvlText w:val="%1."/>
      <w:lvlJc w:val="left"/>
      <w:pPr>
        <w:ind w:hanging="360" w:left="720"/>
      </w:pPr>
      <w:rPr>
        <w:rFonts w:hint="default"/>
      </w:rPr>
    </w:lvl>
    <w:lvl w:ilvl="1" w:tentative="1" w:tplc="08090019">
      <w:start w:val="1"/>
      <w:numFmt w:val="lowerLetter"/>
      <w:lvlText w:val="%2."/>
      <w:lvlJc w:val="left"/>
      <w:pPr>
        <w:ind w:hanging="360" w:left="1440"/>
      </w:pPr>
    </w:lvl>
    <w:lvl w:ilvl="2" w:tentative="1" w:tplc="0809001B">
      <w:start w:val="1"/>
      <w:numFmt w:val="lowerRoman"/>
      <w:lvlText w:val="%3."/>
      <w:lvlJc w:val="right"/>
      <w:pPr>
        <w:ind w:hanging="180" w:left="2160"/>
      </w:pPr>
    </w:lvl>
    <w:lvl w:ilvl="3" w:tentative="1" w:tplc="0809000F">
      <w:start w:val="1"/>
      <w:numFmt w:val="decimal"/>
      <w:lvlText w:val="%4."/>
      <w:lvlJc w:val="left"/>
      <w:pPr>
        <w:ind w:hanging="360" w:left="2880"/>
      </w:pPr>
    </w:lvl>
    <w:lvl w:ilvl="4" w:tentative="1" w:tplc="08090019">
      <w:start w:val="1"/>
      <w:numFmt w:val="lowerLetter"/>
      <w:lvlText w:val="%5."/>
      <w:lvlJc w:val="left"/>
      <w:pPr>
        <w:ind w:hanging="360" w:left="3600"/>
      </w:pPr>
    </w:lvl>
    <w:lvl w:ilvl="5" w:tentative="1" w:tplc="0809001B">
      <w:start w:val="1"/>
      <w:numFmt w:val="lowerRoman"/>
      <w:lvlText w:val="%6."/>
      <w:lvlJc w:val="right"/>
      <w:pPr>
        <w:ind w:hanging="180" w:left="4320"/>
      </w:pPr>
    </w:lvl>
    <w:lvl w:ilvl="6" w:tentative="1" w:tplc="0809000F">
      <w:start w:val="1"/>
      <w:numFmt w:val="decimal"/>
      <w:lvlText w:val="%7."/>
      <w:lvlJc w:val="left"/>
      <w:pPr>
        <w:ind w:hanging="360" w:left="5040"/>
      </w:pPr>
    </w:lvl>
    <w:lvl w:ilvl="7" w:tentative="1" w:tplc="08090019">
      <w:start w:val="1"/>
      <w:numFmt w:val="lowerLetter"/>
      <w:lvlText w:val="%8."/>
      <w:lvlJc w:val="left"/>
      <w:pPr>
        <w:ind w:hanging="360" w:left="5760"/>
      </w:pPr>
    </w:lvl>
    <w:lvl w:ilvl="8" w:tentative="1" w:tplc="0809001B">
      <w:start w:val="1"/>
      <w:numFmt w:val="lowerRoman"/>
      <w:lvlText w:val="%9."/>
      <w:lvlJc w:val="right"/>
      <w:pPr>
        <w:ind w:hanging="180" w:left="6480"/>
      </w:pPr>
    </w:lvl>
  </w:abstractNum>
  <w:abstractNum w15:restartNumberingAfterBreak="0" w:abstractNumId="3">
    <w:nsid w:val="4BEF4EC6"/>
    <w:multiLevelType w:val="hybridMultilevel"/>
    <w:tmpl w:val="9F0C074E"/>
    <w:lvl w:ilvl="0" w:tplc="0809000B">
      <w:start w:val="1"/>
      <w:numFmt w:val="bullet"/>
      <w:lvlText w:val=""/>
      <w:lvlJc w:val="left"/>
      <w:pPr>
        <w:ind w:hanging="360" w:left="720"/>
      </w:pPr>
      <w:rPr>
        <w:rFonts w:ascii="Wingdings" w:hAnsi="Wingdings" w:hint="default"/>
      </w:rPr>
    </w:lvl>
    <w:lvl w:ilvl="1" w:tentative="1" w:tplc="08090003">
      <w:start w:val="1"/>
      <w:numFmt w:val="bullet"/>
      <w:lvlText w:val="o"/>
      <w:lvlJc w:val="left"/>
      <w:pPr>
        <w:ind w:hanging="360" w:left="1440"/>
      </w:pPr>
      <w:rPr>
        <w:rFonts w:ascii="Courier New" w:cs="Courier New" w:hAnsi="Courier New" w:hint="default"/>
      </w:rPr>
    </w:lvl>
    <w:lvl w:ilvl="2" w:tentative="1" w:tplc="08090005">
      <w:start w:val="1"/>
      <w:numFmt w:val="bullet"/>
      <w:lvlText w:val=""/>
      <w:lvlJc w:val="left"/>
      <w:pPr>
        <w:ind w:hanging="360" w:left="2160"/>
      </w:pPr>
      <w:rPr>
        <w:rFonts w:ascii="Wingdings" w:hAnsi="Wingdings" w:hint="default"/>
      </w:rPr>
    </w:lvl>
    <w:lvl w:ilvl="3" w:tentative="1" w:tplc="08090001">
      <w:start w:val="1"/>
      <w:numFmt w:val="bullet"/>
      <w:lvlText w:val=""/>
      <w:lvlJc w:val="left"/>
      <w:pPr>
        <w:ind w:hanging="360" w:left="2880"/>
      </w:pPr>
      <w:rPr>
        <w:rFonts w:ascii="Symbol" w:hAnsi="Symbol" w:hint="default"/>
      </w:rPr>
    </w:lvl>
    <w:lvl w:ilvl="4" w:tentative="1" w:tplc="08090003">
      <w:start w:val="1"/>
      <w:numFmt w:val="bullet"/>
      <w:lvlText w:val="o"/>
      <w:lvlJc w:val="left"/>
      <w:pPr>
        <w:ind w:hanging="360" w:left="3600"/>
      </w:pPr>
      <w:rPr>
        <w:rFonts w:ascii="Courier New" w:cs="Courier New" w:hAnsi="Courier New" w:hint="default"/>
      </w:rPr>
    </w:lvl>
    <w:lvl w:ilvl="5" w:tentative="1" w:tplc="08090005">
      <w:start w:val="1"/>
      <w:numFmt w:val="bullet"/>
      <w:lvlText w:val=""/>
      <w:lvlJc w:val="left"/>
      <w:pPr>
        <w:ind w:hanging="360" w:left="4320"/>
      </w:pPr>
      <w:rPr>
        <w:rFonts w:ascii="Wingdings" w:hAnsi="Wingdings" w:hint="default"/>
      </w:rPr>
    </w:lvl>
    <w:lvl w:ilvl="6" w:tentative="1" w:tplc="08090001">
      <w:start w:val="1"/>
      <w:numFmt w:val="bullet"/>
      <w:lvlText w:val=""/>
      <w:lvlJc w:val="left"/>
      <w:pPr>
        <w:ind w:hanging="360" w:left="5040"/>
      </w:pPr>
      <w:rPr>
        <w:rFonts w:ascii="Symbol" w:hAnsi="Symbol" w:hint="default"/>
      </w:rPr>
    </w:lvl>
    <w:lvl w:ilvl="7" w:tentative="1" w:tplc="08090003">
      <w:start w:val="1"/>
      <w:numFmt w:val="bullet"/>
      <w:lvlText w:val="o"/>
      <w:lvlJc w:val="left"/>
      <w:pPr>
        <w:ind w:hanging="360" w:left="5760"/>
      </w:pPr>
      <w:rPr>
        <w:rFonts w:ascii="Courier New" w:cs="Courier New" w:hAnsi="Courier New" w:hint="default"/>
      </w:rPr>
    </w:lvl>
    <w:lvl w:ilvl="8" w:tentative="1" w:tplc="08090005">
      <w:start w:val="1"/>
      <w:numFmt w:val="bullet"/>
      <w:lvlText w:val=""/>
      <w:lvlJc w:val="left"/>
      <w:pPr>
        <w:ind w:hanging="360" w:left="6480"/>
      </w:pPr>
      <w:rPr>
        <w:rFonts w:ascii="Wingdings" w:hAnsi="Wingdings" w:hint="default"/>
      </w:rPr>
    </w:lvl>
  </w:abstractNum>
  <w:abstractNum w15:restartNumberingAfterBreak="0" w:abstractNumId="4">
    <w:nsid w:val="7D9F175B"/>
    <w:multiLevelType w:val="hybridMultilevel"/>
    <w:tmpl w:val="4B6CC940"/>
    <w:lvl w:ilvl="0" w:tplc="13285B16">
      <w:start w:val="1"/>
      <w:numFmt w:val="bullet"/>
      <w:pStyle w:val="Heading2"/>
      <w:lvlText w:val=""/>
      <w:lvlJc w:val="left"/>
      <w:pPr>
        <w:ind w:hanging="360" w:left="1440"/>
      </w:pPr>
      <w:rPr>
        <w:rFonts w:ascii="Wingdings" w:hAnsi="Wingdings" w:hint="default"/>
      </w:rPr>
    </w:lvl>
    <w:lvl w:ilvl="1" w:tentative="1" w:tplc="08090003">
      <w:start w:val="1"/>
      <w:numFmt w:val="bullet"/>
      <w:lvlText w:val="o"/>
      <w:lvlJc w:val="left"/>
      <w:pPr>
        <w:ind w:hanging="360" w:left="2160"/>
      </w:pPr>
      <w:rPr>
        <w:rFonts w:ascii="Courier New" w:cs="Courier New" w:hAnsi="Courier New" w:hint="default"/>
      </w:rPr>
    </w:lvl>
    <w:lvl w:ilvl="2" w:tentative="1" w:tplc="08090005">
      <w:start w:val="1"/>
      <w:numFmt w:val="bullet"/>
      <w:lvlText w:val=""/>
      <w:lvlJc w:val="left"/>
      <w:pPr>
        <w:ind w:hanging="360" w:left="2880"/>
      </w:pPr>
      <w:rPr>
        <w:rFonts w:ascii="Wingdings" w:hAnsi="Wingdings" w:hint="default"/>
      </w:rPr>
    </w:lvl>
    <w:lvl w:ilvl="3" w:tentative="1" w:tplc="08090001">
      <w:start w:val="1"/>
      <w:numFmt w:val="bullet"/>
      <w:lvlText w:val=""/>
      <w:lvlJc w:val="left"/>
      <w:pPr>
        <w:ind w:hanging="360" w:left="3600"/>
      </w:pPr>
      <w:rPr>
        <w:rFonts w:ascii="Symbol" w:hAnsi="Symbol" w:hint="default"/>
      </w:rPr>
    </w:lvl>
    <w:lvl w:ilvl="4" w:tentative="1" w:tplc="08090003">
      <w:start w:val="1"/>
      <w:numFmt w:val="bullet"/>
      <w:lvlText w:val="o"/>
      <w:lvlJc w:val="left"/>
      <w:pPr>
        <w:ind w:hanging="360" w:left="4320"/>
      </w:pPr>
      <w:rPr>
        <w:rFonts w:ascii="Courier New" w:cs="Courier New" w:hAnsi="Courier New" w:hint="default"/>
      </w:rPr>
    </w:lvl>
    <w:lvl w:ilvl="5" w:tentative="1" w:tplc="08090005">
      <w:start w:val="1"/>
      <w:numFmt w:val="bullet"/>
      <w:lvlText w:val=""/>
      <w:lvlJc w:val="left"/>
      <w:pPr>
        <w:ind w:hanging="360" w:left="5040"/>
      </w:pPr>
      <w:rPr>
        <w:rFonts w:ascii="Wingdings" w:hAnsi="Wingdings" w:hint="default"/>
      </w:rPr>
    </w:lvl>
    <w:lvl w:ilvl="6" w:tentative="1" w:tplc="08090001">
      <w:start w:val="1"/>
      <w:numFmt w:val="bullet"/>
      <w:lvlText w:val=""/>
      <w:lvlJc w:val="left"/>
      <w:pPr>
        <w:ind w:hanging="360" w:left="5760"/>
      </w:pPr>
      <w:rPr>
        <w:rFonts w:ascii="Symbol" w:hAnsi="Symbol" w:hint="default"/>
      </w:rPr>
    </w:lvl>
    <w:lvl w:ilvl="7" w:tentative="1" w:tplc="08090003">
      <w:start w:val="1"/>
      <w:numFmt w:val="bullet"/>
      <w:lvlText w:val="o"/>
      <w:lvlJc w:val="left"/>
      <w:pPr>
        <w:ind w:hanging="360" w:left="6480"/>
      </w:pPr>
      <w:rPr>
        <w:rFonts w:ascii="Courier New" w:cs="Courier New" w:hAnsi="Courier New" w:hint="default"/>
      </w:rPr>
    </w:lvl>
    <w:lvl w:ilvl="8" w:tentative="1" w:tplc="08090005">
      <w:start w:val="1"/>
      <w:numFmt w:val="bullet"/>
      <w:lvlText w:val=""/>
      <w:lvlJc w:val="left"/>
      <w:pPr>
        <w:ind w:hanging="360" w:left="7200"/>
      </w:pPr>
      <w:rPr>
        <w:rFonts w:ascii="Wingdings" w:hAnsi="Wingdings" w:hint="default"/>
      </w:rPr>
    </w:lvl>
  </w:abstractNum>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
    <w:abstractNumId w:val="0"/>
  </w:num>
  <w:num w:numId="2">
    <w:abstractNumId w:val="1"/>
  </w:num>
  <w:num w:numId="3">
    <w:abstractNumId w:val="2"/>
  </w:num>
  <w:num w:numId="4">
    <w:abstractNumId w:val="0"/>
  </w:num>
  <w:num w:numId="5">
    <w:abstractNumId w:val="1"/>
  </w:num>
  <w:num w:numId="6">
    <w:abstractNumId w:val="4"/>
  </w:num>
  <w:num w:numId="7">
    <w:abstractNumId w:val="3"/>
  </w:num>
  <w:num w:numId="8">
    <w:abstractNumId w:val="0"/>
  </w:num>
  <w:num w:numId="9">
    <w:abstractNumId w:val="1"/>
  </w:num>
  <w:num w:numId="10">
    <w:abstractNumId w:val="0"/>
  </w:num>
  <w:num w:numId="11">
    <w:abstractNumId w:val="1"/>
  </w: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allStyles="0" w:alternateStyleNames="0" w:clearFormatting="0" w:customStyles="0" w:directFormattingOnNumbering="0" w:directFormattingOnParagraphs="0" w:directFormattingOnRuns="0" w:directFormattingOnTables="0" w:headingStyles="0" w:latentStyles="1" w:numberingStyles="0" w:stylesInUse="0" w:tableStyles="0" w:top3HeadingStyles="0" w:val="0004" w:visibleStyles="0"/>
  <w:trackRevisions/>
  <w:doNotTrackMoves/>
  <w:defaultTabStop w:val="720"/>
  <w:drawingGridHorizontalSpacing w:val="360"/>
  <w:drawingGridVerticalSpacing w:val="360"/>
  <w:displayHorizontalDrawingGridEvery w:val="0"/>
  <w:displayVerticalDrawingGridEvery w:val="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C52E9"/>
    <w:rsid w:val="000574FD"/>
    <w:rsid w:val="000E10CF"/>
    <w:rsid w:val="00183457"/>
    <w:rsid w:val="00201E3F"/>
    <w:rsid w:val="002271E0"/>
    <w:rsid w:val="00240E82"/>
    <w:rsid w:val="002426A8"/>
    <w:rsid w:val="00357F74"/>
    <w:rsid w:val="00497D96"/>
    <w:rsid w:val="00503CEC"/>
    <w:rsid w:val="00574E7B"/>
    <w:rsid w:val="005C52E9"/>
    <w:rsid w:val="006531A4"/>
    <w:rsid w:val="007B0EC6"/>
    <w:rsid w:val="008008D9"/>
    <w:rsid w:val="00950D2C"/>
    <w:rsid w:val="009B2BA7"/>
    <w:rsid w:val="00A507DB"/>
    <w:rsid w:val="00B517C6"/>
    <w:rsid w:val="00BC3793"/>
    <w:rsid w:val="00CA6352"/>
    <w:rsid w:val="00F41D1E"/>
  </w:rsids>
  <w:themeFontLang w:val="en-US"/>
  <w:clrSchemeMapping w:accent1="accent1" w:accent2="accent2" w:accent3="accent3" w:accent4="accent4" w:accent5="accent5" w:accent6="accent6" w:bg1="light1" w:bg2="light2" w:followedHyperlink="followedHyperlink" w:hyperlink="hyperlink" w:t1="dark1" w:t2="dark2"/>
  <w:shapeDefaults>
    <o:shapedefaults spidmax="1026" v:ext="edit"/>
    <o:shapelayout v:ext="edit">
      <o:idmap data="1" v:ext="edit"/>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375" w:defLockedState="0" w:defQFormat="0" w:defSemiHidden="0" w:defUIPriority="0" w:defUnhideWhenUsed="0">
    <w:lsdException w:name="heading 6"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3" w:semiHidden="1" w:unhideWhenUsed="1"/>
    <w:lsdException w:name="List Bullet 4"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default="1" w:styleId="Normal" w:type="paragraph">
    <w:name w:val="Normal"/>
    <w:qFormat/>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autoRedefine/>
    <w:uiPriority w:val="9"/>
    <w:unhideWhenUsed/>
    <w:qFormat/>
    <w:rsid w:val="00B517C6"/>
    <w:pPr>
      <w:keepNext/>
      <w:keepLines/>
      <w:numPr>
        <w:numId w:val="6"/>
      </w:numPr>
      <w:spacing w:after="80" w:before="160"/>
      <w:outlineLvl w:val="1"/>
    </w:pPr>
    <w:rPr>
      <w:rFonts w:asciiTheme="majorHAnsi" w:cstheme="majorBidi" w:eastAsiaTheme="majorEastAsia" w:hAnsiTheme="majorHAnsi"/>
      <w:color w:themeColor="accent1" w:themeShade="BF" w:val="0F4761"/>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styleId="BodyText" w:type="paragraph">
    <w:name w:val="Body Text"/>
    <w:basedOn w:val="Normal"/>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qFormat/>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rsid w:val="00B517C6"/>
    <w:rPr>
      <w:rFonts w:asciiTheme="majorHAnsi" w:cstheme="majorBidi" w:eastAsiaTheme="majorEastAsia" w:hAnsiTheme="majorHAnsi"/>
      <w:color w:themeColor="accent1" w:themeShade="BF" w:val="0F4761"/>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left="480" w:right="480"/>
    </w:pPr>
  </w:style>
  <w:style w:styleId="FootnoteText" w:type="paragraph">
    <w:name w:val="footnote text"/>
    <w:basedOn w:val="Normal"/>
    <w:uiPriority w:val="9"/>
    <w:unhideWhenUsed/>
    <w:qFormat/>
  </w:style>
  <w:style w:customStyle="1" w:styleId="FootnoteBlockText" w:type="paragraph">
    <w:name w:val="Footnote Block Text"/>
    <w:basedOn w:val="FootnoteText"/>
    <w:next w:val="FootnoteText"/>
    <w:uiPriority w:val="9"/>
    <w:unhideWhenUsed/>
    <w:qFormat/>
    <w:pPr>
      <w:spacing w:after="100" w:before="100"/>
      <w:ind w:left="480" w:right="480"/>
    </w:pPr>
  </w:style>
  <w:style w:customStyle="1" w:styleId="Table" w:type="table">
    <w:name w:val="Table"/>
    <w:semiHidden/>
    <w:unhideWhenUsed/>
    <w:qFormat/>
    <w:tblPr>
      <w:tblInd w:type="dxa" w:w="0"/>
      <w:tblCellMar>
        <w:top w:type="dxa" w:w="0"/>
        <w:left w:type="dxa" w:w="108"/>
        <w:bottom w:type="dxa" w:w="0"/>
        <w:right w:type="dxa" w:w="108"/>
      </w:tblCellMar>
    </w:tblPr>
    <w:tblStylePr w:type="firstRow">
      <w:tblPr>
        <w:jc w:val="left"/>
      </w:tblPr>
      <w:trPr>
        <w:jc w:val="left"/>
      </w:trPr>
      <w:tcPr>
        <w:tcBorders>
          <w:bottom w:color="auto" w:space="0" w:sz="0"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CaptionChar"/>
    <w:pPr>
      <w:spacing w:after="12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CaptionChar" w:type="character">
    <w:name w:val="Caption Char"/>
    <w:basedOn w:val="DefaultParagraphFont"/>
    <w:link w:val="Caption"/>
  </w:style>
  <w:style w:customStyle="1" w:styleId="VerbatimChar" w:type="character">
    <w:name w:val="Verbatim Char"/>
    <w:basedOn w:val="CaptionChar"/>
    <w:link w:val="SourceCode"/>
    <w:rPr>
      <w:rFonts w:ascii="Consolas" w:hAnsi="Consolas"/>
      <w:sz w:val="22"/>
    </w:rPr>
  </w:style>
  <w:style w:customStyle="1" w:styleId="SectionNumber" w:type="character">
    <w:name w:val="Section Number"/>
    <w:basedOn w:val="CaptionChar"/>
  </w:style>
  <w:style w:styleId="FootnoteReference" w:type="character">
    <w:name w:val="footnote reference"/>
    <w:basedOn w:val="CaptionChar"/>
    <w:rPr>
      <w:vertAlign w:val="superscript"/>
    </w:rPr>
  </w:style>
  <w:style w:styleId="Hyperlink" w:type="character">
    <w:name w:val="Hyperlink"/>
    <w:basedOn w:val="CaptionChar"/>
    <w:rPr>
      <w:color w:themeColor="accent1" w:val="156082"/>
    </w:rPr>
  </w:style>
  <w:style w:styleId="TOCHeading" w:type="paragraph">
    <w:name w:val="TOC Heading"/>
    <w:basedOn w:val="Heading1"/>
    <w:next w:val="BodyText"/>
    <w:uiPriority w:val="39"/>
    <w:unhideWhenUsed/>
    <w:qFormat/>
    <w:pPr>
      <w:spacing w:before="240" w:line="259" w:lineRule="auto"/>
      <w:outlineLvl w:val="9"/>
    </w:pPr>
  </w:style>
  <w:style w:customStyle="1" w:styleId="SourceCode" w:type="paragraph">
    <w:name w:val="Source Code"/>
    <w:basedOn w:val="Normal"/>
    <w:link w:val="VerbatimChar"/>
    <w:pPr>
      <w:shd w:color="auto" w:fill="F8F8F8" w:val="clear"/>
      <w:wordWrap w:val="0"/>
    </w:pPr>
  </w:style>
  <w:style w:customStyle="1" w:styleId="KeywordTok" w:type="character">
    <w:name w:val="KeywordTok"/>
    <w:basedOn w:val="VerbatimChar"/>
    <w:rPr>
      <w:rFonts w:ascii="Consolas" w:hAnsi="Consolas"/>
      <w:b/>
      <w:color w:val="204A87"/>
      <w:sz w:val="22"/>
      <w:shd w:color="auto" w:fill="F8F8F8" w:val="clear"/>
    </w:rPr>
  </w:style>
  <w:style w:customStyle="1" w:styleId="DataTypeTok" w:type="character">
    <w:name w:val="DataTypeTok"/>
    <w:basedOn w:val="VerbatimChar"/>
    <w:rPr>
      <w:rFonts w:ascii="Consolas" w:hAnsi="Consolas"/>
      <w:color w:val="204A87"/>
      <w:sz w:val="22"/>
      <w:shd w:color="auto" w:fill="F8F8F8" w:val="clear"/>
    </w:rPr>
  </w:style>
  <w:style w:customStyle="1" w:styleId="DecValTok" w:type="character">
    <w:name w:val="DecValTok"/>
    <w:basedOn w:val="VerbatimChar"/>
    <w:rPr>
      <w:rFonts w:ascii="Consolas" w:hAnsi="Consolas"/>
      <w:color w:val="0000CF"/>
      <w:sz w:val="22"/>
      <w:shd w:color="auto" w:fill="F8F8F8" w:val="clear"/>
    </w:rPr>
  </w:style>
  <w:style w:customStyle="1" w:styleId="BaseNTok" w:type="character">
    <w:name w:val="BaseNTok"/>
    <w:basedOn w:val="VerbatimChar"/>
    <w:rPr>
      <w:rFonts w:ascii="Consolas" w:hAnsi="Consolas"/>
      <w:color w:val="0000CF"/>
      <w:sz w:val="22"/>
      <w:shd w:color="auto" w:fill="F8F8F8" w:val="clear"/>
    </w:rPr>
  </w:style>
  <w:style w:customStyle="1" w:styleId="FloatTok" w:type="character">
    <w:name w:val="FloatTok"/>
    <w:basedOn w:val="VerbatimChar"/>
    <w:rPr>
      <w:rFonts w:ascii="Consolas" w:hAnsi="Consolas"/>
      <w:color w:val="0000CF"/>
      <w:sz w:val="22"/>
      <w:shd w:color="auto" w:fill="F8F8F8" w:val="clear"/>
    </w:rPr>
  </w:style>
  <w:style w:customStyle="1" w:styleId="ConstantTok" w:type="character">
    <w:name w:val="ConstantTok"/>
    <w:basedOn w:val="VerbatimChar"/>
    <w:rPr>
      <w:rFonts w:ascii="Consolas" w:hAnsi="Consolas"/>
      <w:color w:val="8F5902"/>
      <w:sz w:val="22"/>
      <w:shd w:color="auto" w:fill="F8F8F8" w:val="clear"/>
    </w:rPr>
  </w:style>
  <w:style w:customStyle="1" w:styleId="CharTok" w:type="character">
    <w:name w:val="CharTok"/>
    <w:basedOn w:val="VerbatimChar"/>
    <w:rPr>
      <w:rFonts w:ascii="Consolas" w:hAnsi="Consolas"/>
      <w:color w:val="4E9A06"/>
      <w:sz w:val="22"/>
      <w:shd w:color="auto" w:fill="F8F8F8" w:val="clear"/>
    </w:rPr>
  </w:style>
  <w:style w:customStyle="1" w:styleId="SpecialCharTok" w:type="character">
    <w:name w:val="SpecialCharTok"/>
    <w:basedOn w:val="VerbatimChar"/>
    <w:rPr>
      <w:rFonts w:ascii="Consolas" w:hAnsi="Consolas"/>
      <w:b/>
      <w:color w:val="CE5C00"/>
      <w:sz w:val="22"/>
      <w:shd w:color="auto" w:fill="F8F8F8" w:val="clear"/>
    </w:rPr>
  </w:style>
  <w:style w:customStyle="1" w:styleId="StringTok" w:type="character">
    <w:name w:val="StringTok"/>
    <w:basedOn w:val="VerbatimChar"/>
    <w:rPr>
      <w:rFonts w:ascii="Consolas" w:hAnsi="Consolas"/>
      <w:color w:val="4E9A06"/>
      <w:sz w:val="22"/>
      <w:shd w:color="auto" w:fill="F8F8F8" w:val="clear"/>
    </w:rPr>
  </w:style>
  <w:style w:customStyle="1" w:styleId="VerbatimStringTok" w:type="character">
    <w:name w:val="VerbatimStringTok"/>
    <w:basedOn w:val="VerbatimChar"/>
    <w:rPr>
      <w:rFonts w:ascii="Consolas" w:hAnsi="Consolas"/>
      <w:color w:val="4E9A06"/>
      <w:sz w:val="22"/>
      <w:shd w:color="auto" w:fill="F8F8F8" w:val="clear"/>
    </w:rPr>
  </w:style>
  <w:style w:customStyle="1" w:styleId="SpecialStringTok" w:type="character">
    <w:name w:val="SpecialStringTok"/>
    <w:basedOn w:val="VerbatimChar"/>
    <w:rPr>
      <w:rFonts w:ascii="Consolas" w:hAnsi="Consolas"/>
      <w:color w:val="4E9A06"/>
      <w:sz w:val="22"/>
      <w:shd w:color="auto" w:fill="F8F8F8" w:val="clear"/>
    </w:rPr>
  </w:style>
  <w:style w:customStyle="1" w:styleId="ImportTok" w:type="character">
    <w:name w:val="ImportTok"/>
    <w:basedOn w:val="VerbatimChar"/>
    <w:rPr>
      <w:rFonts w:ascii="Consolas" w:hAnsi="Consolas"/>
      <w:sz w:val="22"/>
      <w:shd w:color="auto" w:fill="F8F8F8" w:val="clear"/>
    </w:rPr>
  </w:style>
  <w:style w:customStyle="1" w:styleId="CommentTok" w:type="character">
    <w:name w:val="CommentTok"/>
    <w:basedOn w:val="VerbatimChar"/>
    <w:rPr>
      <w:rFonts w:ascii="Consolas" w:hAnsi="Consolas"/>
      <w:i/>
      <w:color w:val="8F5902"/>
      <w:sz w:val="22"/>
      <w:shd w:color="auto" w:fill="F8F8F8" w:val="clear"/>
    </w:rPr>
  </w:style>
  <w:style w:customStyle="1" w:styleId="DocumentationTok" w:type="character">
    <w:name w:val="DocumentationTok"/>
    <w:basedOn w:val="VerbatimChar"/>
    <w:rPr>
      <w:rFonts w:ascii="Consolas" w:hAnsi="Consolas"/>
      <w:b/>
      <w:i/>
      <w:color w:val="8F5902"/>
      <w:sz w:val="22"/>
      <w:shd w:color="auto" w:fill="F8F8F8" w:val="clear"/>
    </w:rPr>
  </w:style>
  <w:style w:customStyle="1" w:styleId="AnnotationTok" w:type="character">
    <w:name w:val="AnnotationTok"/>
    <w:basedOn w:val="VerbatimChar"/>
    <w:rPr>
      <w:rFonts w:ascii="Consolas" w:hAnsi="Consolas"/>
      <w:b/>
      <w:i/>
      <w:color w:val="8F5902"/>
      <w:sz w:val="22"/>
      <w:shd w:color="auto" w:fill="F8F8F8" w:val="clear"/>
    </w:rPr>
  </w:style>
  <w:style w:customStyle="1" w:styleId="CommentVarTok" w:type="character">
    <w:name w:val="CommentVarTok"/>
    <w:basedOn w:val="VerbatimChar"/>
    <w:rPr>
      <w:rFonts w:ascii="Consolas" w:hAnsi="Consolas"/>
      <w:b/>
      <w:i/>
      <w:color w:val="8F5902"/>
      <w:sz w:val="22"/>
      <w:shd w:color="auto" w:fill="F8F8F8" w:val="clear"/>
    </w:rPr>
  </w:style>
  <w:style w:customStyle="1" w:styleId="OtherTok" w:type="character">
    <w:name w:val="OtherTok"/>
    <w:basedOn w:val="VerbatimChar"/>
    <w:rPr>
      <w:rFonts w:ascii="Consolas" w:hAnsi="Consolas"/>
      <w:color w:val="8F5902"/>
      <w:sz w:val="22"/>
      <w:shd w:color="auto" w:fill="F8F8F8" w:val="clear"/>
    </w:rPr>
  </w:style>
  <w:style w:customStyle="1" w:styleId="FunctionTok" w:type="character">
    <w:name w:val="FunctionTok"/>
    <w:basedOn w:val="VerbatimChar"/>
    <w:rPr>
      <w:rFonts w:ascii="Consolas" w:hAnsi="Consolas"/>
      <w:b/>
      <w:color w:val="204A87"/>
      <w:sz w:val="22"/>
      <w:shd w:color="auto" w:fill="F8F8F8" w:val="clear"/>
    </w:rPr>
  </w:style>
  <w:style w:customStyle="1" w:styleId="VariableTok" w:type="character">
    <w:name w:val="VariableTok"/>
    <w:basedOn w:val="VerbatimChar"/>
    <w:rPr>
      <w:rFonts w:ascii="Consolas" w:hAnsi="Consolas"/>
      <w:color w:val="000000"/>
      <w:sz w:val="22"/>
      <w:shd w:color="auto" w:fill="F8F8F8" w:val="clear"/>
    </w:rPr>
  </w:style>
  <w:style w:customStyle="1" w:styleId="ControlFlowTok" w:type="character">
    <w:name w:val="ControlFlowTok"/>
    <w:basedOn w:val="VerbatimChar"/>
    <w:rPr>
      <w:rFonts w:ascii="Consolas" w:hAnsi="Consolas"/>
      <w:b/>
      <w:color w:val="204A87"/>
      <w:sz w:val="22"/>
      <w:shd w:color="auto" w:fill="F8F8F8" w:val="clear"/>
    </w:rPr>
  </w:style>
  <w:style w:customStyle="1" w:styleId="OperatorTok" w:type="character">
    <w:name w:val="OperatorTok"/>
    <w:basedOn w:val="VerbatimChar"/>
    <w:rPr>
      <w:rFonts w:ascii="Consolas" w:hAnsi="Consolas"/>
      <w:b/>
      <w:color w:val="CE5C00"/>
      <w:sz w:val="22"/>
      <w:shd w:color="auto" w:fill="F8F8F8" w:val="clear"/>
    </w:rPr>
  </w:style>
  <w:style w:customStyle="1" w:styleId="BuiltInTok" w:type="character">
    <w:name w:val="BuiltInTok"/>
    <w:basedOn w:val="VerbatimChar"/>
    <w:rPr>
      <w:rFonts w:ascii="Consolas" w:hAnsi="Consolas"/>
      <w:sz w:val="22"/>
      <w:shd w:color="auto" w:fill="F8F8F8" w:val="clear"/>
    </w:rPr>
  </w:style>
  <w:style w:customStyle="1" w:styleId="ExtensionTok" w:type="character">
    <w:name w:val="ExtensionTok"/>
    <w:basedOn w:val="VerbatimChar"/>
    <w:rPr>
      <w:rFonts w:ascii="Consolas" w:hAnsi="Consolas"/>
      <w:sz w:val="22"/>
      <w:shd w:color="auto" w:fill="F8F8F8" w:val="clear"/>
    </w:rPr>
  </w:style>
  <w:style w:customStyle="1" w:styleId="PreprocessorTok" w:type="character">
    <w:name w:val="PreprocessorTok"/>
    <w:basedOn w:val="VerbatimChar"/>
    <w:rPr>
      <w:rFonts w:ascii="Consolas" w:hAnsi="Consolas"/>
      <w:i/>
      <w:color w:val="8F5902"/>
      <w:sz w:val="22"/>
      <w:shd w:color="auto" w:fill="F8F8F8" w:val="clear"/>
    </w:rPr>
  </w:style>
  <w:style w:customStyle="1" w:styleId="AttributeTok" w:type="character">
    <w:name w:val="AttributeTok"/>
    <w:basedOn w:val="VerbatimChar"/>
    <w:rPr>
      <w:rFonts w:ascii="Consolas" w:hAnsi="Consolas"/>
      <w:color w:val="204A87"/>
      <w:sz w:val="22"/>
      <w:shd w:color="auto" w:fill="F8F8F8" w:val="clear"/>
    </w:rPr>
  </w:style>
  <w:style w:customStyle="1" w:styleId="RegionMarkerTok" w:type="character">
    <w:name w:val="RegionMarkerTok"/>
    <w:basedOn w:val="VerbatimChar"/>
    <w:rPr>
      <w:rFonts w:ascii="Consolas" w:hAnsi="Consolas"/>
      <w:sz w:val="22"/>
      <w:shd w:color="auto" w:fill="F8F8F8" w:val="clear"/>
    </w:rPr>
  </w:style>
  <w:style w:customStyle="1" w:styleId="InformationTok" w:type="character">
    <w:name w:val="InformationTok"/>
    <w:basedOn w:val="VerbatimChar"/>
    <w:rPr>
      <w:rFonts w:ascii="Consolas" w:hAnsi="Consolas"/>
      <w:b/>
      <w:i/>
      <w:color w:val="8F5902"/>
      <w:sz w:val="22"/>
      <w:shd w:color="auto" w:fill="F8F8F8" w:val="clear"/>
    </w:rPr>
  </w:style>
  <w:style w:customStyle="1" w:styleId="WarningTok" w:type="character">
    <w:name w:val="WarningTok"/>
    <w:basedOn w:val="VerbatimChar"/>
    <w:rPr>
      <w:rFonts w:ascii="Consolas" w:hAnsi="Consolas"/>
      <w:b/>
      <w:i/>
      <w:color w:val="8F5902"/>
      <w:sz w:val="22"/>
      <w:shd w:color="auto" w:fill="F8F8F8" w:val="clear"/>
    </w:rPr>
  </w:style>
  <w:style w:customStyle="1" w:styleId="AlertTok" w:type="character">
    <w:name w:val="AlertTok"/>
    <w:basedOn w:val="VerbatimChar"/>
    <w:rPr>
      <w:rFonts w:ascii="Consolas" w:hAnsi="Consolas"/>
      <w:color w:val="EF2929"/>
      <w:sz w:val="22"/>
      <w:shd w:color="auto" w:fill="F8F8F8" w:val="clear"/>
    </w:rPr>
  </w:style>
  <w:style w:customStyle="1" w:styleId="ErrorTok" w:type="character">
    <w:name w:val="ErrorTok"/>
    <w:basedOn w:val="VerbatimChar"/>
    <w:rPr>
      <w:rFonts w:ascii="Consolas" w:hAnsi="Consolas"/>
      <w:b/>
      <w:color w:val="A40000"/>
      <w:sz w:val="22"/>
      <w:shd w:color="auto" w:fill="F8F8F8" w:val="clear"/>
    </w:rPr>
  </w:style>
  <w:style w:customStyle="1" w:styleId="NormalTok" w:type="character">
    <w:name w:val="NormalTok"/>
    <w:basedOn w:val="VerbatimChar"/>
    <w:rPr>
      <w:rFonts w:ascii="Consolas" w:hAnsi="Consolas"/>
      <w:sz w:val="22"/>
      <w:shd w:color="auto" w:fill="F8F8F8" w:val="clear"/>
    </w:rPr>
  </w:style>
  <w:style w:styleId="BalloonText" w:type="paragraph">
    <w:name w:val="Balloon Text"/>
    <w:basedOn w:val="Normal"/>
    <w:link w:val="BalloonTextChar"/>
    <w:semiHidden/>
    <w:unhideWhenUsed/>
    <w:rsid w:val="000E10CF"/>
    <w:pPr>
      <w:spacing w:after="0"/>
    </w:pPr>
    <w:rPr>
      <w:rFonts w:ascii="Segoe UI" w:cs="Segoe UI" w:hAnsi="Segoe UI"/>
      <w:sz w:val="18"/>
      <w:szCs w:val="18"/>
    </w:rPr>
  </w:style>
  <w:style w:customStyle="1" w:styleId="BalloonTextChar" w:type="character">
    <w:name w:val="Balloon Text Char"/>
    <w:basedOn w:val="DefaultParagraphFont"/>
    <w:link w:val="BalloonText"/>
    <w:semiHidden/>
    <w:rsid w:val="000E10CF"/>
    <w:rPr>
      <w:rFonts w:ascii="Segoe UI" w:cs="Segoe UI" w:hAnsi="Segoe UI"/>
      <w:sz w:val="18"/>
      <w:szCs w:val="18"/>
    </w:rPr>
  </w:style>
  <w:style w:styleId="CommentReference" w:type="character">
    <w:name w:val="annotation reference"/>
    <w:basedOn w:val="DefaultParagraphFont"/>
    <w:semiHidden/>
    <w:unhideWhenUsed/>
    <w:rsid w:val="000E10CF"/>
    <w:rPr>
      <w:sz w:val="16"/>
      <w:szCs w:val="16"/>
    </w:rPr>
  </w:style>
  <w:style w:styleId="CommentText" w:type="paragraph">
    <w:name w:val="annotation text"/>
    <w:basedOn w:val="Normal"/>
    <w:link w:val="CommentTextChar"/>
    <w:semiHidden/>
    <w:unhideWhenUsed/>
    <w:rsid w:val="000E10CF"/>
    <w:rPr>
      <w:sz w:val="20"/>
      <w:szCs w:val="20"/>
    </w:rPr>
  </w:style>
  <w:style w:customStyle="1" w:styleId="CommentTextChar" w:type="character">
    <w:name w:val="Comment Text Char"/>
    <w:basedOn w:val="DefaultParagraphFont"/>
    <w:link w:val="CommentText"/>
    <w:semiHidden/>
    <w:rsid w:val="000E10CF"/>
    <w:rPr>
      <w:sz w:val="20"/>
      <w:szCs w:val="20"/>
    </w:rPr>
  </w:style>
  <w:style w:styleId="CommentSubject" w:type="paragraph">
    <w:name w:val="annotation subject"/>
    <w:basedOn w:val="CommentText"/>
    <w:next w:val="CommentText"/>
    <w:link w:val="CommentSubjectChar"/>
    <w:semiHidden/>
    <w:unhideWhenUsed/>
    <w:rsid w:val="000E10CF"/>
    <w:rPr>
      <w:b/>
      <w:bCs/>
    </w:rPr>
  </w:style>
  <w:style w:customStyle="1" w:styleId="CommentSubjectChar" w:type="character">
    <w:name w:val="Comment Subject Char"/>
    <w:basedOn w:val="CommentTextChar"/>
    <w:link w:val="CommentSubject"/>
    <w:semiHidden/>
    <w:rsid w:val="000E10CF"/>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32" Target="media/rId32.png" /><Relationship Type="http://schemas.openxmlformats.org/officeDocument/2006/relationships/image" Id="rId37" Target="media/rId37.png" /><Relationship Type="http://schemas.openxmlformats.org/officeDocument/2006/relationships/image" Id="rId42" Target="media/rId42.png" /><Relationship Type="http://schemas.openxmlformats.org/officeDocument/2006/relationships/image" Id="rId47" Target="media/rId47.png" /><Relationship Type="http://schemas.openxmlformats.org/officeDocument/2006/relationships/image" Id="rId52" Target="media/rId52.png" /><Relationship Type="http://schemas.openxmlformats.org/officeDocument/2006/relationships/image" Id="rId57" Target="media/rId57.png" /><Relationship Type="http://schemas.openxmlformats.org/officeDocument/2006/relationships/image" Id="rId62" Target="media/rId62.png" /><Relationship Type="http://schemas.openxmlformats.org/officeDocument/2006/relationships/image" Id="rId27" Target="media/rId27.png" /><Relationship Type="http://schemas.openxmlformats.org/officeDocument/2006/relationships/image" Id="rId73" Target="media/rId73.png" /><Relationship Type="http://schemas.openxmlformats.org/officeDocument/2006/relationships/image" Id="rId68" Target="media/rId68.png" /><Relationship Type="http://schemas.openxmlformats.org/officeDocument/2006/relationships/image" Id="rId23" Target="media/rId23.png" /><Relationship Type="http://schemas.openxmlformats.org/officeDocument/2006/relationships/image" Id="rId20" Target="media/rId20.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72</TotalTime>
  <Pages>8</Pages>
  <Words>740</Words>
  <Characters>4219</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HSCNI</Company>
  <LinksUpToDate>false</LinksUpToDate>
  <CharactersWithSpaces>4950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2026-09-10T10:50:41Z</dcterms:created>
  <dcterms:modified xsi:type="dcterms:W3CDTF">2026-09-10T10:50:41Z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utput">
    <vt:lpwstr/>
  </property>
</Properties>
</file>